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C7" w:rsidRDefault="00AB7BE5" w:rsidP="00356EFA">
      <w:pPr>
        <w:tabs>
          <w:tab w:val="left" w:pos="1985"/>
        </w:tabs>
        <w:rPr>
          <w:b/>
          <w:sz w:val="28"/>
          <w:szCs w:val="28"/>
        </w:rPr>
      </w:pPr>
      <w:bookmarkStart w:id="0" w:name="_GoBack"/>
      <w:bookmarkEnd w:id="0"/>
      <w:r>
        <w:rPr>
          <w:b/>
          <w:sz w:val="28"/>
          <w:szCs w:val="28"/>
        </w:rPr>
        <w:t>Symbiotic partnerships to grow the health workforce in rural and remote Australia</w:t>
      </w:r>
    </w:p>
    <w:p w:rsidR="00AB7BE5" w:rsidRPr="00AB7BE5" w:rsidRDefault="00AB7BE5" w:rsidP="003450C7">
      <w:pPr>
        <w:rPr>
          <w:vertAlign w:val="superscript"/>
        </w:rPr>
      </w:pPr>
      <w:r w:rsidRPr="00AB7BE5">
        <w:t>Kristine Battye and Cath Sefton</w:t>
      </w:r>
    </w:p>
    <w:p w:rsidR="00AB7BE5" w:rsidRDefault="00AB7BE5" w:rsidP="003450C7">
      <w:r w:rsidRPr="00AB7BE5">
        <w:t>KBC Australia</w:t>
      </w:r>
      <w:r>
        <w:t>, Orange, NSW</w:t>
      </w:r>
    </w:p>
    <w:p w:rsidR="00511B14" w:rsidRDefault="00D441E5" w:rsidP="00511B14">
      <w:pPr>
        <w:spacing w:after="0"/>
        <w:rPr>
          <w:b/>
        </w:rPr>
      </w:pPr>
      <w:r w:rsidRPr="00D441E5">
        <w:rPr>
          <w:b/>
        </w:rPr>
        <w:t xml:space="preserve">Growing the Aboriginal and Torres Strait Islander Health </w:t>
      </w:r>
      <w:r w:rsidR="00140B4F">
        <w:rPr>
          <w:b/>
        </w:rPr>
        <w:t xml:space="preserve">Worker </w:t>
      </w:r>
      <w:r w:rsidRPr="00D441E5">
        <w:rPr>
          <w:b/>
        </w:rPr>
        <w:t>Workforce</w:t>
      </w:r>
    </w:p>
    <w:p w:rsidR="00CC4583" w:rsidRDefault="00CC4583" w:rsidP="00511B14">
      <w:pPr>
        <w:spacing w:after="0"/>
        <w:rPr>
          <w:rFonts w:ascii="Calibri" w:eastAsia="Calibri" w:hAnsi="Calibri" w:cs="Arial"/>
        </w:rPr>
      </w:pPr>
    </w:p>
    <w:p w:rsidR="005B1A8E" w:rsidRDefault="00D441E5" w:rsidP="00511B14">
      <w:pPr>
        <w:spacing w:after="0"/>
      </w:pPr>
      <w:r w:rsidRPr="00D441E5">
        <w:rPr>
          <w:rFonts w:ascii="Calibri" w:eastAsia="Calibri" w:hAnsi="Calibri" w:cs="Arial"/>
        </w:rPr>
        <w:t>Building Indigenous health workforce capacity is a key underpinning requirement to Closing the Gap in I</w:t>
      </w:r>
      <w:r w:rsidR="00830EEA">
        <w:rPr>
          <w:rFonts w:ascii="Calibri" w:eastAsia="Calibri" w:hAnsi="Calibri" w:cs="Arial"/>
        </w:rPr>
        <w:t xml:space="preserve">ndigenous health disadvantage. </w:t>
      </w:r>
      <w:r w:rsidR="002376FD" w:rsidRPr="002376FD">
        <w:t xml:space="preserve">The Aboriginal and Torres Strait Islander Health Worker </w:t>
      </w:r>
      <w:r w:rsidR="005B1A8E">
        <w:t xml:space="preserve">(ATSIHW) </w:t>
      </w:r>
      <w:r w:rsidR="002376FD" w:rsidRPr="002376FD">
        <w:t>workforce is recognised as a key component of the primary health care workforce</w:t>
      </w:r>
      <w:r w:rsidR="00700AE5">
        <w:t>. I</w:t>
      </w:r>
      <w:r w:rsidR="002376FD" w:rsidRPr="002376FD">
        <w:t>n addition to participating in the delivery of comprehensive primary health care</w:t>
      </w:r>
      <w:r w:rsidR="00700AE5">
        <w:t>, ATSIHWs provide</w:t>
      </w:r>
      <w:r w:rsidR="002376FD" w:rsidRPr="002376FD">
        <w:t xml:space="preserve"> a crucial link between Aboriginal Community Controlled and mainstream health services, </w:t>
      </w:r>
      <w:r w:rsidR="00700AE5">
        <w:t xml:space="preserve">and between health services and </w:t>
      </w:r>
      <w:r w:rsidR="002376FD" w:rsidRPr="002376FD">
        <w:t>communities to break down some of the known barriers to Indigenous people accessing health care including cultural relevance and appropriateness of health services, gender imbalance, racial discrimination, transport needs and cost of the care.</w:t>
      </w:r>
      <w:r w:rsidR="009C66BE">
        <w:rPr>
          <w:vertAlign w:val="superscript"/>
        </w:rPr>
        <w:t>1</w:t>
      </w:r>
      <w:r w:rsidR="002376FD" w:rsidRPr="002376FD">
        <w:t xml:space="preserve"> </w:t>
      </w:r>
    </w:p>
    <w:p w:rsidR="00511B14" w:rsidRPr="00511B14" w:rsidRDefault="00511B14" w:rsidP="00511B14">
      <w:pPr>
        <w:spacing w:after="0"/>
        <w:rPr>
          <w:b/>
        </w:rPr>
      </w:pPr>
    </w:p>
    <w:p w:rsidR="000D7C3E" w:rsidRDefault="002376FD" w:rsidP="00D441E5">
      <w:pPr>
        <w:rPr>
          <w:rFonts w:ascii="Calibri" w:eastAsia="Calibri" w:hAnsi="Calibri" w:cs="Times New Roman"/>
        </w:rPr>
      </w:pPr>
      <w:r w:rsidRPr="002376FD">
        <w:t>Increasing the Aboriginal and Torres Strait Islander health workforce across all professions is a key strategy to promote access to health care for Indigenous people</w:t>
      </w:r>
      <w:r w:rsidR="009C66BE">
        <w:rPr>
          <w:vertAlign w:val="superscript"/>
        </w:rPr>
        <w:t>2</w:t>
      </w:r>
      <w:r w:rsidRPr="002376FD">
        <w:t xml:space="preserve">, and when coupled with increased availability of health services establishes the necessary platform for improvement in health outcomes. </w:t>
      </w:r>
      <w:r w:rsidR="00B04B6D">
        <w:rPr>
          <w:rFonts w:ascii="Calibri" w:eastAsia="Calibri" w:hAnsi="Calibri" w:cs="Times New Roman"/>
        </w:rPr>
        <w:t>However, while 2.5</w:t>
      </w:r>
      <w:r w:rsidRPr="00D441E5">
        <w:rPr>
          <w:rFonts w:ascii="Calibri" w:eastAsia="Calibri" w:hAnsi="Calibri" w:cs="Times New Roman"/>
        </w:rPr>
        <w:t xml:space="preserve">% of the Australian population are Aboriginal and Torres </w:t>
      </w:r>
      <w:r w:rsidR="00B04B6D">
        <w:rPr>
          <w:rFonts w:ascii="Calibri" w:eastAsia="Calibri" w:hAnsi="Calibri" w:cs="Times New Roman"/>
        </w:rPr>
        <w:t>Strait Islander people</w:t>
      </w:r>
      <w:r w:rsidR="009C66BE">
        <w:rPr>
          <w:rFonts w:ascii="Calibri" w:eastAsia="Calibri" w:hAnsi="Calibri" w:cs="Times New Roman"/>
          <w:vertAlign w:val="superscript"/>
        </w:rPr>
        <w:t>3</w:t>
      </w:r>
      <w:r w:rsidR="00B04B6D">
        <w:rPr>
          <w:rFonts w:ascii="Calibri" w:eastAsia="Calibri" w:hAnsi="Calibri" w:cs="Times New Roman"/>
        </w:rPr>
        <w:t>, only 1.8</w:t>
      </w:r>
      <w:r w:rsidRPr="00D441E5">
        <w:rPr>
          <w:rFonts w:ascii="Calibri" w:eastAsia="Calibri" w:hAnsi="Calibri" w:cs="Times New Roman"/>
        </w:rPr>
        <w:t>% of the national health workforce is made up of Aboriginal and Torres Strait Islander people.</w:t>
      </w:r>
      <w:r w:rsidR="009C66BE">
        <w:rPr>
          <w:rFonts w:ascii="Calibri" w:eastAsia="Calibri" w:hAnsi="Calibri" w:cs="Times New Roman"/>
          <w:vertAlign w:val="superscript"/>
        </w:rPr>
        <w:t>4</w:t>
      </w:r>
      <w:r w:rsidR="009E0D76">
        <w:rPr>
          <w:rFonts w:ascii="Calibri" w:eastAsia="Calibri" w:hAnsi="Calibri" w:cs="Times New Roman"/>
        </w:rPr>
        <w:t xml:space="preserve"> </w:t>
      </w:r>
      <w:r w:rsidR="000D7C3E">
        <w:rPr>
          <w:rFonts w:ascii="Calibri" w:eastAsia="Calibri" w:hAnsi="Calibri" w:cs="Times New Roman"/>
        </w:rPr>
        <w:t>T</w:t>
      </w:r>
      <w:r w:rsidR="00D441E5" w:rsidRPr="00D441E5">
        <w:rPr>
          <w:rFonts w:ascii="Calibri" w:eastAsia="Calibri" w:hAnsi="Calibri" w:cs="Times New Roman"/>
        </w:rPr>
        <w:t>he projected growth in the health and community services sector</w:t>
      </w:r>
      <w:r w:rsidR="005B1A8E">
        <w:rPr>
          <w:rFonts w:ascii="Calibri" w:eastAsia="Calibri" w:hAnsi="Calibri" w:cs="Times New Roman"/>
        </w:rPr>
        <w:t xml:space="preserve"> in the five years to 2014-15 was</w:t>
      </w:r>
      <w:r w:rsidR="00D441E5" w:rsidRPr="00D441E5">
        <w:rPr>
          <w:rFonts w:ascii="Calibri" w:eastAsia="Calibri" w:hAnsi="Calibri" w:cs="Times New Roman"/>
        </w:rPr>
        <w:t xml:space="preserve"> 3.3% per year with 211,500 new jobs needed.</w:t>
      </w:r>
      <w:r w:rsidR="009C66BE">
        <w:rPr>
          <w:rFonts w:ascii="Calibri" w:eastAsia="Calibri" w:hAnsi="Calibri" w:cs="Times New Roman"/>
          <w:vertAlign w:val="superscript"/>
        </w:rPr>
        <w:t>5</w:t>
      </w:r>
      <w:r w:rsidR="00D441E5" w:rsidRPr="00D441E5">
        <w:rPr>
          <w:rFonts w:ascii="Calibri" w:eastAsia="Calibri" w:hAnsi="Calibri" w:cs="Times New Roman"/>
        </w:rPr>
        <w:t xml:space="preserve"> While Aboriginal and Torres Strait Islander participation in VET training is strong in the health and community services sector (5%)</w:t>
      </w:r>
      <w:r w:rsidR="009C66BE">
        <w:rPr>
          <w:rFonts w:ascii="Calibri" w:eastAsia="Calibri" w:hAnsi="Calibri" w:cs="Times New Roman"/>
          <w:vertAlign w:val="superscript"/>
        </w:rPr>
        <w:t>6</w:t>
      </w:r>
      <w:r w:rsidR="00D441E5" w:rsidRPr="00D441E5">
        <w:rPr>
          <w:rFonts w:ascii="Calibri" w:eastAsia="Calibri" w:hAnsi="Calibri" w:cs="Times New Roman"/>
        </w:rPr>
        <w:t xml:space="preserve">, it is not translating into comparable rates of employment in the sector. </w:t>
      </w:r>
    </w:p>
    <w:p w:rsidR="009E0D76" w:rsidRPr="00D441E5" w:rsidRDefault="009E0D76" w:rsidP="009E0D76">
      <w:pPr>
        <w:rPr>
          <w:rFonts w:ascii="Calibri" w:eastAsia="Calibri" w:hAnsi="Calibri" w:cs="Times New Roman"/>
        </w:rPr>
      </w:pPr>
      <w:r w:rsidRPr="00D441E5">
        <w:rPr>
          <w:rFonts w:ascii="Calibri" w:eastAsia="Calibri" w:hAnsi="Calibri" w:cs="Arial"/>
        </w:rPr>
        <w:t xml:space="preserve">A review of the literature </w:t>
      </w:r>
      <w:r w:rsidRPr="00D441E5">
        <w:rPr>
          <w:rFonts w:ascii="Calibri" w:eastAsia="Calibri" w:hAnsi="Calibri" w:cs="Times New Roman"/>
        </w:rPr>
        <w:t>on pathways for Indigenous school leavers to undertake training or gain employment concluded that Aboriginal and Torres Strait Islander people “can become disengaged, disaffected and discouraged at any (or all) stages of the journey between school, training and ongoing work”.</w:t>
      </w:r>
      <w:r w:rsidR="009C66BE">
        <w:rPr>
          <w:rFonts w:ascii="Calibri" w:eastAsia="Calibri" w:hAnsi="Calibri" w:cs="Times New Roman"/>
          <w:vertAlign w:val="superscript"/>
        </w:rPr>
        <w:t>7</w:t>
      </w:r>
      <w:r w:rsidRPr="00D441E5">
        <w:rPr>
          <w:rFonts w:ascii="Calibri" w:eastAsia="Calibri" w:hAnsi="Calibri" w:cs="Times New Roman"/>
        </w:rPr>
        <w:t xml:space="preserve"> Therefore, building the Aboriginal and Torres Strait Islander health workforce requires targeted efforts across the </w:t>
      </w:r>
      <w:r>
        <w:rPr>
          <w:rFonts w:ascii="Calibri" w:eastAsia="Calibri" w:hAnsi="Calibri" w:cs="Times New Roman"/>
        </w:rPr>
        <w:t>workforce development continuum:</w:t>
      </w:r>
    </w:p>
    <w:p w:rsidR="009E0D76" w:rsidRPr="00D441E5" w:rsidRDefault="009E0D76" w:rsidP="009E0D76">
      <w:pPr>
        <w:numPr>
          <w:ilvl w:val="0"/>
          <w:numId w:val="22"/>
        </w:numPr>
        <w:contextualSpacing/>
        <w:rPr>
          <w:rFonts w:ascii="Calibri" w:eastAsia="Calibri" w:hAnsi="Calibri" w:cs="Times New Roman"/>
        </w:rPr>
      </w:pPr>
      <w:r w:rsidRPr="00D441E5">
        <w:rPr>
          <w:rFonts w:ascii="Calibri" w:eastAsia="Calibri" w:hAnsi="Calibri" w:cs="Times New Roman"/>
        </w:rPr>
        <w:t>Entry point – to support and enable entry into education and training</w:t>
      </w:r>
    </w:p>
    <w:p w:rsidR="009E0D76" w:rsidRPr="00D441E5" w:rsidRDefault="009E0D76" w:rsidP="009E0D76">
      <w:pPr>
        <w:numPr>
          <w:ilvl w:val="0"/>
          <w:numId w:val="22"/>
        </w:numPr>
        <w:contextualSpacing/>
        <w:rPr>
          <w:rFonts w:ascii="Calibri" w:eastAsia="Calibri" w:hAnsi="Calibri" w:cs="Times New Roman"/>
        </w:rPr>
      </w:pPr>
      <w:r w:rsidRPr="00D441E5">
        <w:rPr>
          <w:rFonts w:ascii="Calibri" w:eastAsia="Calibri" w:hAnsi="Calibri" w:cs="Times New Roman"/>
        </w:rPr>
        <w:t xml:space="preserve">Training – to support Aboriginal and Torres Strait Islander people through the training journey </w:t>
      </w:r>
    </w:p>
    <w:p w:rsidR="009E0D76" w:rsidRDefault="009E0D76" w:rsidP="00D441E5">
      <w:pPr>
        <w:numPr>
          <w:ilvl w:val="0"/>
          <w:numId w:val="22"/>
        </w:numPr>
        <w:contextualSpacing/>
        <w:rPr>
          <w:rFonts w:ascii="Calibri" w:eastAsia="Calibri" w:hAnsi="Calibri" w:cs="Times New Roman"/>
        </w:rPr>
      </w:pPr>
      <w:r w:rsidRPr="00D441E5">
        <w:rPr>
          <w:rFonts w:ascii="Calibri" w:eastAsia="Calibri" w:hAnsi="Calibri" w:cs="Times New Roman"/>
        </w:rPr>
        <w:t>Retention – for ongoing support once Aboriginal and Torres Strait Islander people are in the workforce.</w:t>
      </w:r>
    </w:p>
    <w:p w:rsidR="00140B4F" w:rsidRDefault="00140B4F" w:rsidP="00B04B6D">
      <w:pPr>
        <w:contextualSpacing/>
        <w:rPr>
          <w:rFonts w:ascii="Calibri" w:eastAsia="Calibri" w:hAnsi="Calibri" w:cs="Times New Roman"/>
        </w:rPr>
      </w:pPr>
    </w:p>
    <w:p w:rsidR="00B04B6D" w:rsidRDefault="00140B4F" w:rsidP="00B04B6D">
      <w:pPr>
        <w:contextualSpacing/>
        <w:rPr>
          <w:rFonts w:ascii="Calibri" w:eastAsia="Calibri" w:hAnsi="Calibri" w:cs="Times New Roman"/>
        </w:rPr>
      </w:pPr>
      <w:r>
        <w:rPr>
          <w:rFonts w:ascii="Calibri" w:eastAsia="Calibri" w:hAnsi="Calibri" w:cs="Times New Roman"/>
        </w:rPr>
        <w:t>This paper focuses</w:t>
      </w:r>
      <w:r w:rsidR="00356EFA">
        <w:rPr>
          <w:rFonts w:ascii="Calibri" w:eastAsia="Calibri" w:hAnsi="Calibri" w:cs="Times New Roman"/>
        </w:rPr>
        <w:t xml:space="preserve"> the development of the </w:t>
      </w:r>
      <w:r w:rsidR="00511B14">
        <w:rPr>
          <w:rFonts w:ascii="Calibri" w:eastAsia="Calibri" w:hAnsi="Calibri" w:cs="Times New Roman"/>
        </w:rPr>
        <w:t xml:space="preserve">ATSIHW </w:t>
      </w:r>
      <w:r w:rsidR="007A2864">
        <w:rPr>
          <w:rFonts w:ascii="Calibri" w:eastAsia="Calibri" w:hAnsi="Calibri" w:cs="Times New Roman"/>
        </w:rPr>
        <w:t xml:space="preserve">workforce, and </w:t>
      </w:r>
      <w:r w:rsidR="00356EFA">
        <w:rPr>
          <w:rFonts w:ascii="Calibri" w:eastAsia="Calibri" w:hAnsi="Calibri" w:cs="Times New Roman"/>
        </w:rPr>
        <w:t>identification of key elements needed to support a sustainable training model.</w:t>
      </w:r>
    </w:p>
    <w:p w:rsidR="00140B4F" w:rsidRDefault="00140B4F" w:rsidP="00B04B6D">
      <w:pPr>
        <w:contextualSpacing/>
        <w:rPr>
          <w:rFonts w:ascii="Calibri" w:eastAsia="Calibri" w:hAnsi="Calibri" w:cs="Times New Roman"/>
        </w:rPr>
      </w:pPr>
    </w:p>
    <w:p w:rsidR="00140B4F" w:rsidRPr="00511B14" w:rsidRDefault="00140B4F" w:rsidP="00B04B6D">
      <w:pPr>
        <w:contextualSpacing/>
        <w:rPr>
          <w:rFonts w:ascii="Calibri" w:eastAsia="Calibri" w:hAnsi="Calibri" w:cs="Times New Roman"/>
          <w:b/>
        </w:rPr>
      </w:pPr>
      <w:r w:rsidRPr="00140B4F">
        <w:rPr>
          <w:rFonts w:ascii="Calibri" w:eastAsia="Calibri" w:hAnsi="Calibri" w:cs="Times New Roman"/>
          <w:b/>
        </w:rPr>
        <w:t>Aboriginal and Torres Islander Health Worker training</w:t>
      </w:r>
    </w:p>
    <w:p w:rsidR="003C1527" w:rsidRDefault="003C1527" w:rsidP="00B04B6D">
      <w:pPr>
        <w:contextualSpacing/>
        <w:rPr>
          <w:rFonts w:ascii="Calibri" w:eastAsia="Calibri" w:hAnsi="Calibri" w:cs="Times New Roman"/>
        </w:rPr>
      </w:pPr>
    </w:p>
    <w:p w:rsidR="00140B4F" w:rsidRDefault="00140B4F" w:rsidP="00B04B6D">
      <w:pPr>
        <w:contextualSpacing/>
        <w:rPr>
          <w:rFonts w:ascii="Calibri" w:eastAsia="Calibri" w:hAnsi="Calibri" w:cs="Times New Roman"/>
        </w:rPr>
      </w:pPr>
      <w:r>
        <w:rPr>
          <w:rFonts w:ascii="Calibri" w:eastAsia="Calibri" w:hAnsi="Calibri" w:cs="Times New Roman"/>
        </w:rPr>
        <w:t>The national Aboriginal and Torres Strait Islander Health Worker training package was developed by the Community Services and Health Industry Skills Council in 2007, introducing clearly defined national</w:t>
      </w:r>
      <w:r w:rsidR="00511B14">
        <w:rPr>
          <w:rFonts w:ascii="Calibri" w:eastAsia="Calibri" w:hAnsi="Calibri" w:cs="Times New Roman"/>
        </w:rPr>
        <w:t xml:space="preserve"> </w:t>
      </w:r>
      <w:r>
        <w:rPr>
          <w:rFonts w:ascii="Calibri" w:eastAsia="Calibri" w:hAnsi="Calibri" w:cs="Times New Roman"/>
        </w:rPr>
        <w:lastRenderedPageBreak/>
        <w:t>training re</w:t>
      </w:r>
      <w:r w:rsidR="00BE0D19">
        <w:rPr>
          <w:rFonts w:ascii="Calibri" w:eastAsia="Calibri" w:hAnsi="Calibri" w:cs="Times New Roman"/>
        </w:rPr>
        <w:t>quirements for Health Workers. The training package covers qualifications ranging from Certificate II, Aboriginal and Torres Strait Islander Primary Health through to an Advanced Diploma qualification in a practice stream or community care stream. In 2010-11, there were 33 Registere</w:t>
      </w:r>
      <w:r w:rsidR="00356EFA">
        <w:rPr>
          <w:rFonts w:ascii="Calibri" w:eastAsia="Calibri" w:hAnsi="Calibri" w:cs="Times New Roman"/>
        </w:rPr>
        <w:t>d Training Organisations (RTOs)</w:t>
      </w:r>
      <w:r w:rsidR="00824E4D">
        <w:rPr>
          <w:rFonts w:ascii="Calibri" w:eastAsia="Calibri" w:hAnsi="Calibri" w:cs="Times New Roman"/>
        </w:rPr>
        <w:t xml:space="preserve"> offer</w:t>
      </w:r>
      <w:r w:rsidR="00356EFA">
        <w:rPr>
          <w:rFonts w:ascii="Calibri" w:eastAsia="Calibri" w:hAnsi="Calibri" w:cs="Times New Roman"/>
        </w:rPr>
        <w:t>ing</w:t>
      </w:r>
      <w:r w:rsidR="00BE0D19">
        <w:rPr>
          <w:rFonts w:ascii="Calibri" w:eastAsia="Calibri" w:hAnsi="Calibri" w:cs="Times New Roman"/>
        </w:rPr>
        <w:t xml:space="preserve"> courses within this package inclusive of public</w:t>
      </w:r>
      <w:r w:rsidR="007A2864">
        <w:rPr>
          <w:rFonts w:ascii="Calibri" w:eastAsia="Calibri" w:hAnsi="Calibri" w:cs="Times New Roman"/>
        </w:rPr>
        <w:t xml:space="preserve"> colleges of Technical and Further Education (</w:t>
      </w:r>
      <w:r w:rsidR="00BE0D19">
        <w:rPr>
          <w:rFonts w:ascii="Calibri" w:eastAsia="Calibri" w:hAnsi="Calibri" w:cs="Times New Roman"/>
        </w:rPr>
        <w:t>TAFE</w:t>
      </w:r>
      <w:r w:rsidR="007A2864">
        <w:rPr>
          <w:rFonts w:ascii="Calibri" w:eastAsia="Calibri" w:hAnsi="Calibri" w:cs="Times New Roman"/>
        </w:rPr>
        <w:t>)</w:t>
      </w:r>
      <w:r w:rsidR="00BE0D19">
        <w:rPr>
          <w:rFonts w:ascii="Calibri" w:eastAsia="Calibri" w:hAnsi="Calibri" w:cs="Times New Roman"/>
        </w:rPr>
        <w:t xml:space="preserve"> and Aboriginal and Torres Strait Islander Community Controlled </w:t>
      </w:r>
      <w:r w:rsidR="007A2864">
        <w:rPr>
          <w:rFonts w:ascii="Calibri" w:eastAsia="Calibri" w:hAnsi="Calibri" w:cs="Times New Roman"/>
        </w:rPr>
        <w:t xml:space="preserve">organisations. However, </w:t>
      </w:r>
      <w:r w:rsidR="00824E4D">
        <w:rPr>
          <w:rFonts w:ascii="Calibri" w:eastAsia="Calibri" w:hAnsi="Calibri" w:cs="Times New Roman"/>
        </w:rPr>
        <w:t>the distribution of RTOs across Australia was not consistent, and there were limited opportunities for advanced Health Worker education i.e. Diploma and Advanced Diploma courses.</w:t>
      </w:r>
      <w:r w:rsidR="00F65A4C">
        <w:rPr>
          <w:rFonts w:ascii="Calibri" w:eastAsia="Calibri" w:hAnsi="Calibri" w:cs="Times New Roman"/>
          <w:vertAlign w:val="superscript"/>
        </w:rPr>
        <w:t>1</w:t>
      </w:r>
      <w:r w:rsidR="00700AE5">
        <w:rPr>
          <w:rFonts w:ascii="Calibri" w:eastAsia="Calibri" w:hAnsi="Calibri" w:cs="Times New Roman"/>
        </w:rPr>
        <w:t xml:space="preserve"> D</w:t>
      </w:r>
      <w:r w:rsidR="00824E4D">
        <w:rPr>
          <w:rFonts w:ascii="Calibri" w:eastAsia="Calibri" w:hAnsi="Calibri" w:cs="Times New Roman"/>
        </w:rPr>
        <w:t>etailed analysis of 9 of these RTOs indicated limited availability of Certificate II courses, and hence access to entry level courses.</w:t>
      </w:r>
      <w:r w:rsidR="00F65A4C">
        <w:rPr>
          <w:rFonts w:ascii="Calibri" w:eastAsia="Calibri" w:hAnsi="Calibri" w:cs="Times New Roman"/>
          <w:vertAlign w:val="superscript"/>
        </w:rPr>
        <w:t>8</w:t>
      </w:r>
      <w:r w:rsidR="00F65A4C">
        <w:rPr>
          <w:rFonts w:ascii="Calibri" w:eastAsia="Calibri" w:hAnsi="Calibri" w:cs="Times New Roman"/>
        </w:rPr>
        <w:t xml:space="preserve"> </w:t>
      </w:r>
    </w:p>
    <w:p w:rsidR="00B04B6D" w:rsidRDefault="00B04B6D" w:rsidP="00824E4D">
      <w:pPr>
        <w:contextualSpacing/>
        <w:rPr>
          <w:rFonts w:ascii="Calibri" w:eastAsia="Calibri" w:hAnsi="Calibri" w:cs="Times New Roman"/>
        </w:rPr>
      </w:pPr>
    </w:p>
    <w:p w:rsidR="00B04B6D" w:rsidRDefault="00E642BC" w:rsidP="00E642BC">
      <w:pPr>
        <w:contextualSpacing/>
        <w:rPr>
          <w:rFonts w:ascii="Calibri" w:eastAsia="Calibri" w:hAnsi="Calibri" w:cs="Times New Roman"/>
        </w:rPr>
      </w:pPr>
      <w:r>
        <w:rPr>
          <w:rFonts w:ascii="Calibri" w:eastAsia="Calibri" w:hAnsi="Calibri" w:cs="Times New Roman"/>
        </w:rPr>
        <w:t>RTOs offer trai</w:t>
      </w:r>
      <w:r w:rsidR="000260F5">
        <w:rPr>
          <w:rFonts w:ascii="Calibri" w:eastAsia="Calibri" w:hAnsi="Calibri" w:cs="Times New Roman"/>
        </w:rPr>
        <w:t>ning under various models. Key elements of</w:t>
      </w:r>
      <w:r>
        <w:rPr>
          <w:rFonts w:ascii="Calibri" w:eastAsia="Calibri" w:hAnsi="Calibri" w:cs="Times New Roman"/>
        </w:rPr>
        <w:t xml:space="preserve"> training models </w:t>
      </w:r>
      <w:r w:rsidR="000260F5">
        <w:rPr>
          <w:rFonts w:ascii="Calibri" w:eastAsia="Calibri" w:hAnsi="Calibri" w:cs="Times New Roman"/>
        </w:rPr>
        <w:t>are outlined in Table 1.</w:t>
      </w:r>
    </w:p>
    <w:p w:rsidR="000260F5" w:rsidRDefault="000260F5" w:rsidP="00E642BC">
      <w:pPr>
        <w:contextualSpacing/>
        <w:rPr>
          <w:rFonts w:ascii="Calibri" w:eastAsia="Calibri" w:hAnsi="Calibri" w:cs="Times New Roman"/>
        </w:rPr>
      </w:pPr>
    </w:p>
    <w:p w:rsidR="000260F5" w:rsidRPr="000260F5" w:rsidRDefault="000260F5" w:rsidP="00E642BC">
      <w:pPr>
        <w:contextualSpacing/>
        <w:rPr>
          <w:rFonts w:ascii="Calibri" w:eastAsia="Calibri" w:hAnsi="Calibri" w:cs="Times New Roman"/>
          <w:b/>
        </w:rPr>
      </w:pPr>
      <w:r w:rsidRPr="000260F5">
        <w:rPr>
          <w:rFonts w:ascii="Calibri" w:eastAsia="Calibri" w:hAnsi="Calibri" w:cs="Times New Roman"/>
          <w:b/>
        </w:rPr>
        <w:t>Table 1. Key elements of Health Worker training offered by RTOs</w:t>
      </w:r>
    </w:p>
    <w:tbl>
      <w:tblPr>
        <w:tblStyle w:val="TableGrid"/>
        <w:tblW w:w="0" w:type="auto"/>
        <w:tblLook w:val="04A0" w:firstRow="1" w:lastRow="0" w:firstColumn="1" w:lastColumn="0" w:noHBand="0" w:noVBand="1"/>
      </w:tblPr>
      <w:tblGrid>
        <w:gridCol w:w="1462"/>
        <w:gridCol w:w="7554"/>
      </w:tblGrid>
      <w:tr w:rsidR="0043235B" w:rsidTr="00FD49FA">
        <w:tc>
          <w:tcPr>
            <w:tcW w:w="0" w:type="auto"/>
            <w:gridSpan w:val="2"/>
          </w:tcPr>
          <w:p w:rsidR="0043235B" w:rsidRPr="007A2864" w:rsidRDefault="0043235B" w:rsidP="000260F5">
            <w:pPr>
              <w:contextualSpacing/>
              <w:jc w:val="left"/>
              <w:rPr>
                <w:rFonts w:ascii="Calibri" w:eastAsia="Calibri" w:hAnsi="Calibri" w:cs="Times New Roman"/>
                <w:b/>
                <w:i/>
              </w:rPr>
            </w:pPr>
            <w:r w:rsidRPr="007A2864">
              <w:rPr>
                <w:rFonts w:ascii="Calibri" w:eastAsia="Calibri" w:hAnsi="Calibri" w:cs="Times New Roman"/>
                <w:b/>
                <w:i/>
              </w:rPr>
              <w:t>Training approach</w:t>
            </w:r>
          </w:p>
        </w:tc>
      </w:tr>
      <w:tr w:rsidR="006532B5" w:rsidTr="0043235B">
        <w:tc>
          <w:tcPr>
            <w:tcW w:w="0" w:type="auto"/>
          </w:tcPr>
          <w:p w:rsidR="006532B5" w:rsidRDefault="006532B5" w:rsidP="000260F5">
            <w:pPr>
              <w:contextualSpacing/>
              <w:jc w:val="left"/>
              <w:rPr>
                <w:rFonts w:ascii="Calibri" w:eastAsia="Calibri" w:hAnsi="Calibri" w:cs="Times New Roman"/>
              </w:rPr>
            </w:pPr>
            <w:r>
              <w:rPr>
                <w:rFonts w:ascii="Calibri" w:eastAsia="Calibri" w:hAnsi="Calibri" w:cs="Times New Roman"/>
              </w:rPr>
              <w:t>Block training</w:t>
            </w:r>
          </w:p>
        </w:tc>
        <w:tc>
          <w:tcPr>
            <w:tcW w:w="0" w:type="auto"/>
          </w:tcPr>
          <w:p w:rsidR="006532B5" w:rsidRDefault="006532B5" w:rsidP="00131844">
            <w:pPr>
              <w:contextualSpacing/>
              <w:jc w:val="left"/>
              <w:rPr>
                <w:rFonts w:ascii="Calibri" w:eastAsia="Calibri" w:hAnsi="Calibri" w:cs="Times New Roman"/>
              </w:rPr>
            </w:pPr>
            <w:r>
              <w:rPr>
                <w:rFonts w:ascii="Calibri" w:eastAsia="Calibri" w:hAnsi="Calibri" w:cs="Times New Roman"/>
              </w:rPr>
              <w:t xml:space="preserve">Students attend a training centre, as a group, for intensive education and training. The duration and frequency of the blocks can differ between RTOs, but are </w:t>
            </w:r>
            <w:r w:rsidR="007A2864">
              <w:rPr>
                <w:rFonts w:ascii="Calibri" w:eastAsia="Calibri" w:hAnsi="Calibri" w:cs="Times New Roman"/>
              </w:rPr>
              <w:t>typically of 2-3 week duration, offered a number of times for a unit of competency.</w:t>
            </w:r>
          </w:p>
          <w:p w:rsidR="007A2864" w:rsidRDefault="006532B5" w:rsidP="00131844">
            <w:pPr>
              <w:contextualSpacing/>
              <w:jc w:val="left"/>
              <w:rPr>
                <w:rFonts w:ascii="Calibri" w:eastAsia="Calibri" w:hAnsi="Calibri" w:cs="Times New Roman"/>
              </w:rPr>
            </w:pPr>
            <w:r>
              <w:rPr>
                <w:rFonts w:ascii="Calibri" w:eastAsia="Calibri" w:hAnsi="Calibri" w:cs="Times New Roman"/>
              </w:rPr>
              <w:t>Block training offer</w:t>
            </w:r>
            <w:r w:rsidR="007A2864">
              <w:rPr>
                <w:rFonts w:ascii="Calibri" w:eastAsia="Calibri" w:hAnsi="Calibri" w:cs="Times New Roman"/>
              </w:rPr>
              <w:t>s efficiencies of Educator time.</w:t>
            </w:r>
          </w:p>
          <w:p w:rsidR="007A2864" w:rsidRDefault="007A2864" w:rsidP="00131844">
            <w:pPr>
              <w:contextualSpacing/>
              <w:jc w:val="left"/>
              <w:rPr>
                <w:rFonts w:ascii="Calibri" w:eastAsia="Calibri" w:hAnsi="Calibri" w:cs="Times New Roman"/>
              </w:rPr>
            </w:pPr>
            <w:r>
              <w:rPr>
                <w:rFonts w:ascii="Calibri" w:eastAsia="Calibri" w:hAnsi="Calibri" w:cs="Times New Roman"/>
              </w:rPr>
              <w:t>This is the predominant approach to training.</w:t>
            </w:r>
          </w:p>
        </w:tc>
      </w:tr>
      <w:tr w:rsidR="006532B5" w:rsidTr="0043235B">
        <w:tc>
          <w:tcPr>
            <w:tcW w:w="0" w:type="auto"/>
          </w:tcPr>
          <w:p w:rsidR="006532B5" w:rsidRDefault="006532B5" w:rsidP="000260F5">
            <w:pPr>
              <w:contextualSpacing/>
              <w:jc w:val="left"/>
              <w:rPr>
                <w:rFonts w:ascii="Calibri" w:eastAsia="Calibri" w:hAnsi="Calibri" w:cs="Times New Roman"/>
              </w:rPr>
            </w:pPr>
            <w:r>
              <w:rPr>
                <w:rFonts w:ascii="Calibri" w:eastAsia="Calibri" w:hAnsi="Calibri" w:cs="Times New Roman"/>
              </w:rPr>
              <w:t>Outreach (reverse block)</w:t>
            </w:r>
          </w:p>
        </w:tc>
        <w:tc>
          <w:tcPr>
            <w:tcW w:w="0" w:type="auto"/>
          </w:tcPr>
          <w:p w:rsidR="007A2864" w:rsidRDefault="006532B5" w:rsidP="00131844">
            <w:pPr>
              <w:contextualSpacing/>
              <w:jc w:val="left"/>
              <w:rPr>
                <w:rFonts w:ascii="Calibri" w:eastAsia="Calibri" w:hAnsi="Calibri" w:cs="Times New Roman"/>
              </w:rPr>
            </w:pPr>
            <w:r>
              <w:rPr>
                <w:rFonts w:ascii="Calibri" w:eastAsia="Calibri" w:hAnsi="Calibri" w:cs="Times New Roman"/>
              </w:rPr>
              <w:t xml:space="preserve">Majority of training occurs in the health centre, with the educators working with the ATSIHW on a one to one or small group basis. </w:t>
            </w:r>
          </w:p>
          <w:p w:rsidR="006532B5" w:rsidRDefault="006532B5" w:rsidP="000260F5">
            <w:pPr>
              <w:contextualSpacing/>
              <w:jc w:val="left"/>
              <w:rPr>
                <w:rFonts w:ascii="Calibri" w:eastAsia="Calibri" w:hAnsi="Calibri" w:cs="Times New Roman"/>
              </w:rPr>
            </w:pPr>
            <w:r>
              <w:rPr>
                <w:rFonts w:ascii="Calibri" w:eastAsia="Calibri" w:hAnsi="Calibri" w:cs="Times New Roman"/>
              </w:rPr>
              <w:t>This training can be supplemented by short training blocks in a regional centre to minimise time away from the community</w:t>
            </w:r>
            <w:r w:rsidR="007A2864">
              <w:rPr>
                <w:rFonts w:ascii="Calibri" w:eastAsia="Calibri" w:hAnsi="Calibri" w:cs="Times New Roman"/>
              </w:rPr>
              <w:t>.</w:t>
            </w:r>
          </w:p>
        </w:tc>
      </w:tr>
      <w:tr w:rsidR="0043235B" w:rsidTr="004234EA">
        <w:tc>
          <w:tcPr>
            <w:tcW w:w="0" w:type="auto"/>
            <w:gridSpan w:val="2"/>
          </w:tcPr>
          <w:p w:rsidR="0043235B" w:rsidRPr="007A2864" w:rsidRDefault="0043235B" w:rsidP="006532B5">
            <w:pPr>
              <w:jc w:val="left"/>
              <w:rPr>
                <w:rFonts w:ascii="Calibri" w:eastAsia="Calibri" w:hAnsi="Calibri" w:cs="Times New Roman"/>
                <w:b/>
                <w:i/>
              </w:rPr>
            </w:pPr>
            <w:r w:rsidRPr="007A2864">
              <w:rPr>
                <w:rFonts w:ascii="Calibri" w:eastAsia="Calibri" w:hAnsi="Calibri" w:cs="Times New Roman"/>
                <w:b/>
                <w:i/>
              </w:rPr>
              <w:t>Numeracy and literacy</w:t>
            </w:r>
            <w:r w:rsidR="007A2864" w:rsidRPr="007A2864">
              <w:rPr>
                <w:rFonts w:ascii="Calibri" w:eastAsia="Calibri" w:hAnsi="Calibri" w:cs="Times New Roman"/>
                <w:b/>
                <w:i/>
              </w:rPr>
              <w:t xml:space="preserve"> development</w:t>
            </w:r>
          </w:p>
        </w:tc>
      </w:tr>
      <w:tr w:rsidR="0043235B" w:rsidTr="00CB64C3">
        <w:tc>
          <w:tcPr>
            <w:tcW w:w="0" w:type="auto"/>
            <w:gridSpan w:val="2"/>
          </w:tcPr>
          <w:p w:rsidR="0043235B" w:rsidRDefault="0043235B" w:rsidP="006532B5">
            <w:pPr>
              <w:contextualSpacing/>
              <w:jc w:val="left"/>
              <w:rPr>
                <w:rFonts w:ascii="Calibri" w:eastAsia="Calibri" w:hAnsi="Calibri" w:cs="Times New Roman"/>
              </w:rPr>
            </w:pPr>
            <w:r>
              <w:rPr>
                <w:rFonts w:ascii="Calibri" w:eastAsia="Calibri" w:hAnsi="Calibri" w:cs="Times New Roman"/>
              </w:rPr>
              <w:t>Offered in various ways including:</w:t>
            </w:r>
          </w:p>
          <w:p w:rsidR="0043235B" w:rsidRPr="00131844" w:rsidRDefault="0043235B" w:rsidP="006532B5">
            <w:pPr>
              <w:pStyle w:val="ListParagraph"/>
              <w:numPr>
                <w:ilvl w:val="0"/>
                <w:numId w:val="36"/>
              </w:numPr>
              <w:jc w:val="left"/>
              <w:rPr>
                <w:rFonts w:ascii="Calibri" w:eastAsia="Calibri" w:hAnsi="Calibri" w:cs="Times New Roman"/>
              </w:rPr>
            </w:pPr>
            <w:r>
              <w:rPr>
                <w:rFonts w:ascii="Calibri" w:eastAsia="Calibri" w:hAnsi="Calibri" w:cs="Times New Roman"/>
              </w:rPr>
              <w:t xml:space="preserve">Contract or employ </w:t>
            </w:r>
            <w:r w:rsidRPr="00131844">
              <w:rPr>
                <w:rFonts w:ascii="Calibri" w:eastAsia="Calibri" w:hAnsi="Calibri" w:cs="Times New Roman"/>
              </w:rPr>
              <w:t>teachers/tutors to deliver language, literacy and numeracy (LLN) programs</w:t>
            </w:r>
          </w:p>
          <w:p w:rsidR="0043235B" w:rsidRPr="0043235B" w:rsidRDefault="0043235B" w:rsidP="0043235B">
            <w:pPr>
              <w:pStyle w:val="ListParagraph"/>
              <w:numPr>
                <w:ilvl w:val="0"/>
                <w:numId w:val="36"/>
              </w:numPr>
              <w:jc w:val="left"/>
              <w:rPr>
                <w:rFonts w:ascii="Calibri" w:eastAsia="Calibri" w:hAnsi="Calibri" w:cs="Times New Roman"/>
              </w:rPr>
            </w:pPr>
            <w:r w:rsidRPr="0043235B">
              <w:rPr>
                <w:rFonts w:ascii="Calibri" w:eastAsia="Calibri" w:hAnsi="Calibri" w:cs="Times New Roman"/>
              </w:rPr>
              <w:t>Certificate I in General Education  added to scope of RTO</w:t>
            </w:r>
          </w:p>
        </w:tc>
      </w:tr>
      <w:tr w:rsidR="0043235B" w:rsidTr="00B20C22">
        <w:tc>
          <w:tcPr>
            <w:tcW w:w="0" w:type="auto"/>
            <w:gridSpan w:val="2"/>
          </w:tcPr>
          <w:p w:rsidR="0043235B" w:rsidRPr="007A2864" w:rsidRDefault="0043235B" w:rsidP="006532B5">
            <w:pPr>
              <w:contextualSpacing/>
              <w:jc w:val="left"/>
              <w:rPr>
                <w:rFonts w:ascii="Calibri" w:eastAsia="Calibri" w:hAnsi="Calibri" w:cs="Times New Roman"/>
                <w:b/>
                <w:i/>
              </w:rPr>
            </w:pPr>
            <w:r w:rsidRPr="007A2864">
              <w:rPr>
                <w:rFonts w:ascii="Calibri" w:eastAsia="Calibri" w:hAnsi="Calibri" w:cs="Times New Roman"/>
                <w:b/>
                <w:i/>
              </w:rPr>
              <w:t>Student support</w:t>
            </w:r>
          </w:p>
          <w:p w:rsidR="0043235B" w:rsidRPr="007A2864" w:rsidRDefault="007A2864" w:rsidP="006532B5">
            <w:pPr>
              <w:contextualSpacing/>
              <w:jc w:val="left"/>
              <w:rPr>
                <w:rFonts w:ascii="Calibri" w:eastAsia="Calibri" w:hAnsi="Calibri" w:cs="Times New Roman"/>
                <w:i/>
              </w:rPr>
            </w:pPr>
            <w:r w:rsidRPr="007A2864">
              <w:rPr>
                <w:rFonts w:ascii="Calibri" w:eastAsia="Calibri" w:hAnsi="Calibri" w:cs="Times New Roman"/>
                <w:i/>
              </w:rPr>
              <w:t>This can include logistical support to attend blocks, mentoring, assignment support, tutorial support, job seeking/CV preparation, pastoral support.</w:t>
            </w:r>
          </w:p>
        </w:tc>
      </w:tr>
      <w:tr w:rsidR="0043235B" w:rsidTr="00E37045">
        <w:tc>
          <w:tcPr>
            <w:tcW w:w="0" w:type="auto"/>
            <w:gridSpan w:val="2"/>
          </w:tcPr>
          <w:p w:rsidR="0043235B" w:rsidRDefault="0043235B" w:rsidP="006532B5">
            <w:pPr>
              <w:contextualSpacing/>
              <w:jc w:val="left"/>
              <w:rPr>
                <w:rFonts w:ascii="Calibri" w:eastAsia="Calibri" w:hAnsi="Calibri" w:cs="Times New Roman"/>
              </w:rPr>
            </w:pPr>
            <w:r>
              <w:rPr>
                <w:rFonts w:ascii="Calibri" w:eastAsia="Calibri" w:hAnsi="Calibri" w:cs="Times New Roman"/>
              </w:rPr>
              <w:t>Approaches include:</w:t>
            </w:r>
          </w:p>
          <w:p w:rsidR="0043235B" w:rsidRPr="006532B5" w:rsidRDefault="0043235B" w:rsidP="006532B5">
            <w:pPr>
              <w:pStyle w:val="ListParagraph"/>
              <w:numPr>
                <w:ilvl w:val="0"/>
                <w:numId w:val="38"/>
              </w:numPr>
              <w:jc w:val="left"/>
              <w:rPr>
                <w:rFonts w:ascii="Calibri" w:eastAsia="Calibri" w:hAnsi="Calibri" w:cs="Times New Roman"/>
              </w:rPr>
            </w:pPr>
            <w:r w:rsidRPr="006532B5">
              <w:rPr>
                <w:rFonts w:ascii="Calibri" w:eastAsia="Calibri" w:hAnsi="Calibri" w:cs="Times New Roman"/>
              </w:rPr>
              <w:t>In reverse block training models, usually provided by educators</w:t>
            </w:r>
          </w:p>
          <w:p w:rsidR="0043235B" w:rsidRPr="006532B5" w:rsidRDefault="0043235B" w:rsidP="006532B5">
            <w:pPr>
              <w:pStyle w:val="ListParagraph"/>
              <w:numPr>
                <w:ilvl w:val="0"/>
                <w:numId w:val="38"/>
              </w:numPr>
              <w:jc w:val="left"/>
              <w:rPr>
                <w:rFonts w:ascii="Calibri" w:eastAsia="Calibri" w:hAnsi="Calibri" w:cs="Times New Roman"/>
              </w:rPr>
            </w:pPr>
            <w:r w:rsidRPr="006532B5">
              <w:rPr>
                <w:rFonts w:ascii="Calibri" w:eastAsia="Calibri" w:hAnsi="Calibri" w:cs="Times New Roman"/>
              </w:rPr>
              <w:t>Preceptors identified in health centre and trained by RTO in preceptorship</w:t>
            </w:r>
          </w:p>
          <w:p w:rsidR="0043235B" w:rsidRPr="0043235B" w:rsidRDefault="0043235B" w:rsidP="0043235B">
            <w:pPr>
              <w:pStyle w:val="ListParagraph"/>
              <w:numPr>
                <w:ilvl w:val="0"/>
                <w:numId w:val="38"/>
              </w:numPr>
              <w:jc w:val="left"/>
              <w:rPr>
                <w:rFonts w:ascii="Calibri" w:eastAsia="Calibri" w:hAnsi="Calibri" w:cs="Times New Roman"/>
              </w:rPr>
            </w:pPr>
            <w:r w:rsidRPr="0043235B">
              <w:rPr>
                <w:rFonts w:ascii="Calibri" w:eastAsia="Calibri" w:hAnsi="Calibri" w:cs="Times New Roman"/>
              </w:rPr>
              <w:t>Block training – educator visits the student once or twice a year while on placement or supported by Indigenous field officer employed by RTO to work with preceptor and clinic staff</w:t>
            </w:r>
            <w:r w:rsidR="007A2864">
              <w:rPr>
                <w:rFonts w:ascii="Calibri" w:eastAsia="Calibri" w:hAnsi="Calibri" w:cs="Times New Roman"/>
              </w:rPr>
              <w:t>.</w:t>
            </w:r>
          </w:p>
        </w:tc>
      </w:tr>
      <w:tr w:rsidR="0043235B" w:rsidTr="00E63211">
        <w:tc>
          <w:tcPr>
            <w:tcW w:w="0" w:type="auto"/>
            <w:gridSpan w:val="2"/>
          </w:tcPr>
          <w:p w:rsidR="0043235B" w:rsidRPr="007A2864" w:rsidRDefault="0043235B" w:rsidP="0043235B">
            <w:pPr>
              <w:jc w:val="left"/>
              <w:rPr>
                <w:rFonts w:ascii="Calibri" w:eastAsia="Calibri" w:hAnsi="Calibri" w:cs="Times New Roman"/>
                <w:b/>
                <w:i/>
              </w:rPr>
            </w:pPr>
            <w:r w:rsidRPr="007A2864">
              <w:rPr>
                <w:rFonts w:ascii="Calibri" w:eastAsia="Calibri" w:hAnsi="Calibri" w:cs="Times New Roman"/>
                <w:b/>
                <w:i/>
              </w:rPr>
              <w:t>Placements</w:t>
            </w:r>
          </w:p>
        </w:tc>
      </w:tr>
      <w:tr w:rsidR="0043235B" w:rsidTr="00F1075A">
        <w:tc>
          <w:tcPr>
            <w:tcW w:w="0" w:type="auto"/>
            <w:gridSpan w:val="2"/>
          </w:tcPr>
          <w:p w:rsidR="0043235B" w:rsidRDefault="0043235B" w:rsidP="006532B5">
            <w:pPr>
              <w:pStyle w:val="ListParagraph"/>
              <w:numPr>
                <w:ilvl w:val="0"/>
                <w:numId w:val="37"/>
              </w:numPr>
              <w:jc w:val="left"/>
              <w:rPr>
                <w:rFonts w:ascii="Calibri" w:eastAsia="Calibri" w:hAnsi="Calibri" w:cs="Times New Roman"/>
              </w:rPr>
            </w:pPr>
            <w:r w:rsidRPr="006532B5">
              <w:rPr>
                <w:rFonts w:ascii="Calibri" w:eastAsia="Calibri" w:hAnsi="Calibri" w:cs="Times New Roman"/>
              </w:rPr>
              <w:t>Where student employed, placements occur in workplace</w:t>
            </w:r>
          </w:p>
          <w:p w:rsidR="0043235B" w:rsidRPr="006532B5" w:rsidRDefault="0043235B" w:rsidP="006532B5">
            <w:pPr>
              <w:pStyle w:val="ListParagraph"/>
              <w:ind w:left="360"/>
              <w:jc w:val="left"/>
              <w:rPr>
                <w:rFonts w:ascii="Calibri" w:eastAsia="Calibri" w:hAnsi="Calibri" w:cs="Times New Roman"/>
              </w:rPr>
            </w:pPr>
            <w:r>
              <w:rPr>
                <w:rFonts w:ascii="Calibri" w:eastAsia="Calibri" w:hAnsi="Calibri" w:cs="Times New Roman"/>
              </w:rPr>
              <w:t>OR</w:t>
            </w:r>
          </w:p>
          <w:p w:rsidR="0043235B" w:rsidRPr="0043235B" w:rsidRDefault="0043235B" w:rsidP="0043235B">
            <w:pPr>
              <w:pStyle w:val="ListParagraph"/>
              <w:numPr>
                <w:ilvl w:val="0"/>
                <w:numId w:val="37"/>
              </w:numPr>
              <w:jc w:val="left"/>
              <w:rPr>
                <w:rFonts w:ascii="Calibri" w:eastAsia="Calibri" w:hAnsi="Calibri" w:cs="Times New Roman"/>
              </w:rPr>
            </w:pPr>
            <w:r w:rsidRPr="0043235B">
              <w:rPr>
                <w:rFonts w:ascii="Calibri" w:eastAsia="Calibri" w:hAnsi="Calibri" w:cs="Times New Roman"/>
              </w:rPr>
              <w:t>Pre-employment students – negotiated by the RTO with the health centres in community in which student lives</w:t>
            </w:r>
          </w:p>
        </w:tc>
      </w:tr>
      <w:tr w:rsidR="0043235B" w:rsidTr="00AF69F5">
        <w:tc>
          <w:tcPr>
            <w:tcW w:w="0" w:type="auto"/>
            <w:gridSpan w:val="2"/>
          </w:tcPr>
          <w:p w:rsidR="0043235B" w:rsidRPr="007A2864" w:rsidRDefault="0043235B" w:rsidP="006532B5">
            <w:pPr>
              <w:contextualSpacing/>
              <w:jc w:val="left"/>
              <w:rPr>
                <w:rFonts w:ascii="Calibri" w:eastAsia="Calibri" w:hAnsi="Calibri" w:cs="Times New Roman"/>
                <w:i/>
              </w:rPr>
            </w:pPr>
            <w:r w:rsidRPr="007A2864">
              <w:rPr>
                <w:rFonts w:ascii="Calibri" w:eastAsia="Calibri" w:hAnsi="Calibri" w:cs="Times New Roman"/>
                <w:b/>
                <w:i/>
              </w:rPr>
              <w:t>Workplace assessment</w:t>
            </w:r>
            <w:r w:rsidR="007A2864" w:rsidRPr="007A2864">
              <w:rPr>
                <w:rFonts w:ascii="Calibri" w:eastAsia="Calibri" w:hAnsi="Calibri" w:cs="Times New Roman"/>
                <w:i/>
              </w:rPr>
              <w:t>: Competency assessment has to be undertaken by qualified workplace assessor</w:t>
            </w:r>
          </w:p>
        </w:tc>
      </w:tr>
      <w:tr w:rsidR="0043235B" w:rsidTr="00A44D2B">
        <w:tc>
          <w:tcPr>
            <w:tcW w:w="0" w:type="auto"/>
            <w:gridSpan w:val="2"/>
          </w:tcPr>
          <w:p w:rsidR="0043235B" w:rsidRDefault="0043235B" w:rsidP="006532B5">
            <w:pPr>
              <w:contextualSpacing/>
              <w:jc w:val="left"/>
              <w:rPr>
                <w:rFonts w:ascii="Calibri" w:eastAsia="Calibri" w:hAnsi="Calibri" w:cs="Times New Roman"/>
              </w:rPr>
            </w:pPr>
            <w:r>
              <w:rPr>
                <w:rFonts w:ascii="Calibri" w:eastAsia="Calibri" w:hAnsi="Calibri" w:cs="Times New Roman"/>
              </w:rPr>
              <w:t>Various approaches:</w:t>
            </w:r>
          </w:p>
          <w:p w:rsidR="0043235B" w:rsidRPr="0043235B" w:rsidRDefault="007A2864" w:rsidP="0043235B">
            <w:pPr>
              <w:pStyle w:val="ListParagraph"/>
              <w:numPr>
                <w:ilvl w:val="0"/>
                <w:numId w:val="37"/>
              </w:numPr>
              <w:jc w:val="left"/>
              <w:rPr>
                <w:rFonts w:ascii="Calibri" w:eastAsia="Calibri" w:hAnsi="Calibri" w:cs="Times New Roman"/>
              </w:rPr>
            </w:pPr>
            <w:r>
              <w:rPr>
                <w:rFonts w:ascii="Calibri" w:eastAsia="Calibri" w:hAnsi="Calibri" w:cs="Times New Roman"/>
              </w:rPr>
              <w:t>Use Educator</w:t>
            </w:r>
            <w:r w:rsidR="0043235B" w:rsidRPr="0043235B">
              <w:rPr>
                <w:rFonts w:ascii="Calibri" w:eastAsia="Calibri" w:hAnsi="Calibri" w:cs="Times New Roman"/>
              </w:rPr>
              <w:t xml:space="preserve"> as assessor</w:t>
            </w:r>
            <w:r w:rsidR="00C865F4">
              <w:rPr>
                <w:rFonts w:ascii="Calibri" w:eastAsia="Calibri" w:hAnsi="Calibri" w:cs="Times New Roman"/>
              </w:rPr>
              <w:t xml:space="preserve"> </w:t>
            </w:r>
          </w:p>
          <w:p w:rsidR="0043235B" w:rsidRPr="0043235B" w:rsidRDefault="0043235B" w:rsidP="0043235B">
            <w:pPr>
              <w:pStyle w:val="ListParagraph"/>
              <w:numPr>
                <w:ilvl w:val="0"/>
                <w:numId w:val="37"/>
              </w:numPr>
              <w:jc w:val="left"/>
              <w:rPr>
                <w:rFonts w:ascii="Calibri" w:eastAsia="Calibri" w:hAnsi="Calibri" w:cs="Times New Roman"/>
              </w:rPr>
            </w:pPr>
            <w:r w:rsidRPr="0043235B">
              <w:rPr>
                <w:rFonts w:ascii="Calibri" w:eastAsia="Calibri" w:hAnsi="Calibri" w:cs="Times New Roman"/>
              </w:rPr>
              <w:t>Sessional assessors visit workplace</w:t>
            </w:r>
          </w:p>
          <w:p w:rsidR="0043235B" w:rsidRPr="0043235B" w:rsidRDefault="0043235B" w:rsidP="0043235B">
            <w:pPr>
              <w:pStyle w:val="ListParagraph"/>
              <w:numPr>
                <w:ilvl w:val="0"/>
                <w:numId w:val="37"/>
              </w:numPr>
              <w:jc w:val="left"/>
              <w:rPr>
                <w:rFonts w:ascii="Calibri" w:eastAsia="Calibri" w:hAnsi="Calibri" w:cs="Times New Roman"/>
              </w:rPr>
            </w:pPr>
            <w:r w:rsidRPr="0043235B">
              <w:rPr>
                <w:rFonts w:ascii="Calibri" w:eastAsia="Calibri" w:hAnsi="Calibri" w:cs="Times New Roman"/>
              </w:rPr>
              <w:lastRenderedPageBreak/>
              <w:t>Train qualified ATSIHW and/or Nurses – Cert IV Training and Assessment</w:t>
            </w:r>
            <w:r w:rsidR="007A2864">
              <w:rPr>
                <w:rFonts w:ascii="Calibri" w:eastAsia="Calibri" w:hAnsi="Calibri" w:cs="Times New Roman"/>
              </w:rPr>
              <w:t xml:space="preserve"> to undertake assessment in the workplace.</w:t>
            </w:r>
          </w:p>
        </w:tc>
      </w:tr>
    </w:tbl>
    <w:p w:rsidR="00E642BC" w:rsidRDefault="00E642BC" w:rsidP="00E642BC">
      <w:pPr>
        <w:contextualSpacing/>
        <w:rPr>
          <w:rFonts w:ascii="Calibri" w:eastAsia="Calibri" w:hAnsi="Calibri" w:cs="Times New Roman"/>
        </w:rPr>
      </w:pPr>
    </w:p>
    <w:p w:rsidR="00C865F4" w:rsidRPr="00C865F4" w:rsidRDefault="00C865F4" w:rsidP="00E642BC">
      <w:pPr>
        <w:contextualSpacing/>
        <w:rPr>
          <w:rFonts w:ascii="Calibri" w:eastAsia="Calibri" w:hAnsi="Calibri" w:cs="Times New Roman"/>
          <w:b/>
          <w:i/>
        </w:rPr>
      </w:pPr>
      <w:r w:rsidRPr="00C865F4">
        <w:rPr>
          <w:rFonts w:ascii="Calibri" w:eastAsia="Calibri" w:hAnsi="Calibri" w:cs="Times New Roman"/>
          <w:b/>
          <w:i/>
        </w:rPr>
        <w:t>Educational Outcomes</w:t>
      </w:r>
    </w:p>
    <w:p w:rsidR="003C1527" w:rsidRDefault="003C1527" w:rsidP="00E642BC">
      <w:pPr>
        <w:contextualSpacing/>
        <w:rPr>
          <w:rFonts w:ascii="Calibri" w:eastAsia="Calibri" w:hAnsi="Calibri" w:cs="Times New Roman"/>
        </w:rPr>
      </w:pPr>
    </w:p>
    <w:p w:rsidR="00C865F4" w:rsidRPr="00F65A4C" w:rsidRDefault="00C865F4" w:rsidP="00E642BC">
      <w:pPr>
        <w:contextualSpacing/>
        <w:rPr>
          <w:rFonts w:ascii="Calibri" w:eastAsia="Calibri" w:hAnsi="Calibri" w:cs="Times New Roman"/>
          <w:vertAlign w:val="superscript"/>
        </w:rPr>
      </w:pPr>
      <w:r>
        <w:rPr>
          <w:rFonts w:ascii="Calibri" w:eastAsia="Calibri" w:hAnsi="Calibri" w:cs="Times New Roman"/>
        </w:rPr>
        <w:t xml:space="preserve">The </w:t>
      </w:r>
      <w:r w:rsidR="00D735E9">
        <w:rPr>
          <w:rFonts w:ascii="Calibri" w:eastAsia="Calibri" w:hAnsi="Calibri" w:cs="Times New Roman"/>
        </w:rPr>
        <w:t>absence of a unique student identifier</w:t>
      </w:r>
      <w:r w:rsidR="009E07C6">
        <w:rPr>
          <w:rFonts w:ascii="Calibri" w:eastAsia="Calibri" w:hAnsi="Calibri" w:cs="Times New Roman"/>
        </w:rPr>
        <w:t>, and ill-</w:t>
      </w:r>
      <w:r w:rsidR="00D735E9">
        <w:rPr>
          <w:rFonts w:ascii="Calibri" w:eastAsia="Calibri" w:hAnsi="Calibri" w:cs="Times New Roman"/>
        </w:rPr>
        <w:t>defined concept of student commencement has historically created technical difficulties in measuring course completion</w:t>
      </w:r>
      <w:r>
        <w:rPr>
          <w:rFonts w:ascii="Calibri" w:eastAsia="Calibri" w:hAnsi="Calibri" w:cs="Times New Roman"/>
        </w:rPr>
        <w:t xml:space="preserve"> within the VET system. This has been relevant</w:t>
      </w:r>
      <w:r w:rsidR="00D735E9">
        <w:rPr>
          <w:rFonts w:ascii="Calibri" w:eastAsia="Calibri" w:hAnsi="Calibri" w:cs="Times New Roman"/>
        </w:rPr>
        <w:t xml:space="preserve"> for all RTO types (i.e. TAFE, private and Aboriginal Community Controlled), and across industries.</w:t>
      </w:r>
      <w:r w:rsidR="003F19B5">
        <w:rPr>
          <w:rFonts w:ascii="Calibri" w:eastAsia="Calibri" w:hAnsi="Calibri" w:cs="Times New Roman"/>
        </w:rPr>
        <w:t xml:space="preserve"> </w:t>
      </w:r>
      <w:r>
        <w:rPr>
          <w:rFonts w:ascii="Calibri" w:eastAsia="Calibri" w:hAnsi="Calibri" w:cs="Times New Roman"/>
        </w:rPr>
        <w:t>However, recent reforms to the VET sector, including the introduction of a unique student identifier will enable better measurement of educational outcome i.e. course completion, and length of time for completion.</w:t>
      </w:r>
      <w:r w:rsidR="00F65A4C">
        <w:rPr>
          <w:rFonts w:ascii="Calibri" w:eastAsia="Calibri" w:hAnsi="Calibri" w:cs="Times New Roman"/>
          <w:vertAlign w:val="superscript"/>
        </w:rPr>
        <w:t>9</w:t>
      </w:r>
    </w:p>
    <w:p w:rsidR="00C865F4" w:rsidRDefault="00C865F4" w:rsidP="00E642BC">
      <w:pPr>
        <w:contextualSpacing/>
        <w:rPr>
          <w:rFonts w:ascii="Calibri" w:eastAsia="Calibri" w:hAnsi="Calibri" w:cs="Times New Roman"/>
        </w:rPr>
      </w:pPr>
    </w:p>
    <w:p w:rsidR="00882B24" w:rsidRDefault="00C865F4" w:rsidP="00E642BC">
      <w:pPr>
        <w:contextualSpacing/>
        <w:rPr>
          <w:rFonts w:ascii="Calibri" w:eastAsia="Calibri" w:hAnsi="Calibri" w:cs="Times New Roman"/>
        </w:rPr>
      </w:pPr>
      <w:r>
        <w:rPr>
          <w:rFonts w:ascii="Calibri" w:eastAsia="Calibri" w:hAnsi="Calibri" w:cs="Times New Roman"/>
        </w:rPr>
        <w:t>Recognising these limitations, a national study to measure educational outcomes indicated</w:t>
      </w:r>
      <w:r w:rsidR="00D735E9">
        <w:rPr>
          <w:rFonts w:ascii="Calibri" w:eastAsia="Calibri" w:hAnsi="Calibri" w:cs="Times New Roman"/>
        </w:rPr>
        <w:t xml:space="preserve"> competency completions </w:t>
      </w:r>
      <w:r>
        <w:rPr>
          <w:rFonts w:ascii="Calibri" w:eastAsia="Calibri" w:hAnsi="Calibri" w:cs="Times New Roman"/>
        </w:rPr>
        <w:t>(</w:t>
      </w:r>
      <w:r w:rsidR="00D735E9">
        <w:rPr>
          <w:rFonts w:ascii="Calibri" w:eastAsia="Calibri" w:hAnsi="Calibri" w:cs="Times New Roman"/>
        </w:rPr>
        <w:t>i.e. unit completion</w:t>
      </w:r>
      <w:r>
        <w:rPr>
          <w:rFonts w:ascii="Calibri" w:eastAsia="Calibri" w:hAnsi="Calibri" w:cs="Times New Roman"/>
        </w:rPr>
        <w:t xml:space="preserve"> rather than course completion)</w:t>
      </w:r>
      <w:r w:rsidR="00D735E9">
        <w:rPr>
          <w:rFonts w:ascii="Calibri" w:eastAsia="Calibri" w:hAnsi="Calibri" w:cs="Times New Roman"/>
        </w:rPr>
        <w:t xml:space="preserve"> of 79% in the VET sector overall, with higher rates in the health field (83%).</w:t>
      </w:r>
      <w:r w:rsidR="00F65A4C">
        <w:rPr>
          <w:rFonts w:ascii="Calibri" w:eastAsia="Calibri" w:hAnsi="Calibri" w:cs="Times New Roman"/>
          <w:vertAlign w:val="superscript"/>
        </w:rPr>
        <w:t>10</w:t>
      </w:r>
      <w:r w:rsidR="00D735E9">
        <w:rPr>
          <w:rFonts w:ascii="Calibri" w:eastAsia="Calibri" w:hAnsi="Calibri" w:cs="Times New Roman"/>
        </w:rPr>
        <w:t xml:space="preserve"> </w:t>
      </w:r>
      <w:r w:rsidR="00882B24">
        <w:rPr>
          <w:rFonts w:ascii="Calibri" w:eastAsia="Calibri" w:hAnsi="Calibri" w:cs="Times New Roman"/>
        </w:rPr>
        <w:t xml:space="preserve">Analysis of competency completion for a sample of RTOs offering the </w:t>
      </w:r>
      <w:r>
        <w:rPr>
          <w:rFonts w:ascii="Calibri" w:eastAsia="Calibri" w:hAnsi="Calibri" w:cs="Times New Roman"/>
        </w:rPr>
        <w:t>Aboriginal and Torres Strait Islander Health W</w:t>
      </w:r>
      <w:r w:rsidR="00882B24">
        <w:rPr>
          <w:rFonts w:ascii="Calibri" w:eastAsia="Calibri" w:hAnsi="Calibri" w:cs="Times New Roman"/>
        </w:rPr>
        <w:t xml:space="preserve">orker qualification averaged </w:t>
      </w:r>
      <w:r w:rsidR="009E07C6">
        <w:rPr>
          <w:rFonts w:ascii="Calibri" w:eastAsia="Calibri" w:hAnsi="Calibri" w:cs="Times New Roman"/>
        </w:rPr>
        <w:t xml:space="preserve">just over </w:t>
      </w:r>
      <w:r w:rsidR="00882B24">
        <w:rPr>
          <w:rFonts w:ascii="Calibri" w:eastAsia="Calibri" w:hAnsi="Calibri" w:cs="Times New Roman"/>
        </w:rPr>
        <w:t>50%.</w:t>
      </w:r>
      <w:r w:rsidR="00F65A4C">
        <w:rPr>
          <w:rFonts w:ascii="Calibri" w:eastAsia="Calibri" w:hAnsi="Calibri" w:cs="Times New Roman"/>
          <w:vertAlign w:val="superscript"/>
        </w:rPr>
        <w:t>8</w:t>
      </w:r>
      <w:r w:rsidR="00F65A4C">
        <w:rPr>
          <w:rFonts w:ascii="Calibri" w:eastAsia="Calibri" w:hAnsi="Calibri" w:cs="Times New Roman"/>
        </w:rPr>
        <w:t xml:space="preserve"> T</w:t>
      </w:r>
      <w:r>
        <w:rPr>
          <w:rFonts w:ascii="Calibri" w:eastAsia="Calibri" w:hAnsi="Calibri" w:cs="Times New Roman"/>
        </w:rPr>
        <w:t>his study</w:t>
      </w:r>
      <w:r w:rsidR="00882B24">
        <w:rPr>
          <w:rFonts w:ascii="Calibri" w:eastAsia="Calibri" w:hAnsi="Calibri" w:cs="Times New Roman"/>
        </w:rPr>
        <w:t xml:space="preserve"> found student withdrawal from courses tended to be lower if the student was employed by a health service (similar to an apprenticeship arrangement), rather than on placement </w:t>
      </w:r>
      <w:r w:rsidR="00081532">
        <w:rPr>
          <w:rFonts w:ascii="Calibri" w:eastAsia="Calibri" w:hAnsi="Calibri" w:cs="Times New Roman"/>
        </w:rPr>
        <w:t>as a pre-employment student</w:t>
      </w:r>
      <w:r w:rsidR="00700AE5">
        <w:rPr>
          <w:rFonts w:ascii="Calibri" w:eastAsia="Calibri" w:hAnsi="Calibri" w:cs="Times New Roman"/>
        </w:rPr>
        <w:t xml:space="preserve">, with </w:t>
      </w:r>
      <w:r>
        <w:rPr>
          <w:rFonts w:ascii="Calibri" w:eastAsia="Calibri" w:hAnsi="Calibri" w:cs="Times New Roman"/>
        </w:rPr>
        <w:t xml:space="preserve">financial </w:t>
      </w:r>
      <w:r w:rsidR="00882B24">
        <w:rPr>
          <w:rFonts w:ascii="Calibri" w:eastAsia="Calibri" w:hAnsi="Calibri" w:cs="Times New Roman"/>
        </w:rPr>
        <w:t xml:space="preserve">support </w:t>
      </w:r>
      <w:r w:rsidR="00700AE5">
        <w:rPr>
          <w:rFonts w:ascii="Calibri" w:eastAsia="Calibri" w:hAnsi="Calibri" w:cs="Times New Roman"/>
        </w:rPr>
        <w:t xml:space="preserve">through </w:t>
      </w:r>
      <w:r w:rsidR="00882B24">
        <w:rPr>
          <w:rFonts w:ascii="Calibri" w:eastAsia="Calibri" w:hAnsi="Calibri" w:cs="Times New Roman"/>
        </w:rPr>
        <w:t xml:space="preserve">Abstudy. </w:t>
      </w:r>
    </w:p>
    <w:p w:rsidR="00882B24" w:rsidRDefault="00882B24" w:rsidP="00E642BC">
      <w:pPr>
        <w:contextualSpacing/>
        <w:rPr>
          <w:rFonts w:ascii="Calibri" w:eastAsia="Calibri" w:hAnsi="Calibri" w:cs="Times New Roman"/>
        </w:rPr>
      </w:pPr>
    </w:p>
    <w:p w:rsidR="00E642BC" w:rsidRPr="0043235B" w:rsidRDefault="003F19B5" w:rsidP="00E642BC">
      <w:pPr>
        <w:contextualSpacing/>
        <w:rPr>
          <w:rFonts w:ascii="Calibri" w:eastAsia="Calibri" w:hAnsi="Calibri" w:cs="Times New Roman"/>
          <w:b/>
        </w:rPr>
      </w:pPr>
      <w:r>
        <w:rPr>
          <w:rFonts w:ascii="Calibri" w:eastAsia="Calibri" w:hAnsi="Calibri" w:cs="Times New Roman"/>
          <w:b/>
        </w:rPr>
        <w:t>Factors to inform s</w:t>
      </w:r>
      <w:r w:rsidR="00E642BC" w:rsidRPr="0043235B">
        <w:rPr>
          <w:rFonts w:ascii="Calibri" w:eastAsia="Calibri" w:hAnsi="Calibri" w:cs="Times New Roman"/>
          <w:b/>
        </w:rPr>
        <w:t>ustainable</w:t>
      </w:r>
      <w:r w:rsidR="0043235B">
        <w:rPr>
          <w:rFonts w:ascii="Calibri" w:eastAsia="Calibri" w:hAnsi="Calibri" w:cs="Times New Roman"/>
          <w:b/>
        </w:rPr>
        <w:t xml:space="preserve"> business</w:t>
      </w:r>
      <w:r w:rsidR="00E642BC" w:rsidRPr="0043235B">
        <w:rPr>
          <w:rFonts w:ascii="Calibri" w:eastAsia="Calibri" w:hAnsi="Calibri" w:cs="Times New Roman"/>
          <w:b/>
        </w:rPr>
        <w:t xml:space="preserve"> models</w:t>
      </w:r>
      <w:r w:rsidR="0043235B">
        <w:rPr>
          <w:rFonts w:ascii="Calibri" w:eastAsia="Calibri" w:hAnsi="Calibri" w:cs="Times New Roman"/>
          <w:b/>
        </w:rPr>
        <w:t xml:space="preserve"> to deliver a qualified ATSIHW workforce</w:t>
      </w:r>
    </w:p>
    <w:p w:rsidR="00E7076C" w:rsidRDefault="00A121B7" w:rsidP="00D441E5">
      <w:pPr>
        <w:rPr>
          <w:rFonts w:ascii="Calibri" w:eastAsia="Calibri" w:hAnsi="Calibri" w:cs="Times New Roman"/>
        </w:rPr>
      </w:pPr>
      <w:r>
        <w:rPr>
          <w:rFonts w:ascii="Calibri" w:eastAsia="Calibri" w:hAnsi="Calibri" w:cs="Times New Roman"/>
        </w:rPr>
        <w:t xml:space="preserve">Within the context of training and development of the </w:t>
      </w:r>
      <w:r w:rsidR="00700AE5">
        <w:rPr>
          <w:rFonts w:ascii="Calibri" w:eastAsia="Calibri" w:hAnsi="Calibri" w:cs="Times New Roman"/>
        </w:rPr>
        <w:t xml:space="preserve">ATSIHW </w:t>
      </w:r>
      <w:r>
        <w:rPr>
          <w:rFonts w:ascii="Calibri" w:eastAsia="Calibri" w:hAnsi="Calibri" w:cs="Times New Roman"/>
        </w:rPr>
        <w:t>workforce</w:t>
      </w:r>
      <w:r w:rsidR="0043235B">
        <w:rPr>
          <w:rFonts w:ascii="Calibri" w:eastAsia="Calibri" w:hAnsi="Calibri" w:cs="Times New Roman"/>
        </w:rPr>
        <w:t>,</w:t>
      </w:r>
      <w:r>
        <w:rPr>
          <w:rFonts w:ascii="Calibri" w:eastAsia="Calibri" w:hAnsi="Calibri" w:cs="Times New Roman"/>
        </w:rPr>
        <w:t xml:space="preserve"> sustainable business models need to demonstrate:</w:t>
      </w:r>
    </w:p>
    <w:tbl>
      <w:tblPr>
        <w:tblStyle w:val="PlainTable2"/>
        <w:tblW w:w="0" w:type="auto"/>
        <w:tblLook w:val="0480" w:firstRow="0" w:lastRow="0" w:firstColumn="1" w:lastColumn="0" w:noHBand="0" w:noVBand="1"/>
      </w:tblPr>
      <w:tblGrid>
        <w:gridCol w:w="2171"/>
        <w:gridCol w:w="1365"/>
        <w:gridCol w:w="5490"/>
      </w:tblGrid>
      <w:tr w:rsidR="00A121B7" w:rsidRPr="00A121B7" w:rsidTr="00A1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121B7" w:rsidRPr="00A121B7" w:rsidRDefault="00A121B7" w:rsidP="00A121B7">
            <w:pPr>
              <w:numPr>
                <w:ilvl w:val="0"/>
                <w:numId w:val="30"/>
              </w:numPr>
              <w:contextualSpacing/>
              <w:jc w:val="left"/>
              <w:rPr>
                <w:i/>
                <w:color w:val="000000" w:themeColor="text1" w:themeShade="BF"/>
              </w:rPr>
            </w:pPr>
            <w:r w:rsidRPr="00A121B7">
              <w:rPr>
                <w:i/>
                <w:color w:val="000000" w:themeColor="text1" w:themeShade="BF"/>
              </w:rPr>
              <w:t>Value to:</w:t>
            </w:r>
          </w:p>
        </w:tc>
        <w:tc>
          <w:tcPr>
            <w:tcW w:w="0" w:type="auto"/>
          </w:tcPr>
          <w:p w:rsidR="00A121B7" w:rsidRPr="00A121B7" w:rsidRDefault="00A121B7" w:rsidP="00A121B7">
            <w:pPr>
              <w:jc w:val="left"/>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A121B7">
              <w:rPr>
                <w:b/>
                <w:color w:val="000000" w:themeColor="text1" w:themeShade="BF"/>
              </w:rPr>
              <w:t>Students</w:t>
            </w:r>
          </w:p>
        </w:tc>
        <w:tc>
          <w:tcPr>
            <w:tcW w:w="0" w:type="auto"/>
          </w:tcPr>
          <w:p w:rsidR="00A121B7" w:rsidRPr="00A121B7" w:rsidRDefault="00A121B7" w:rsidP="00A121B7">
            <w:pPr>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A121B7">
              <w:rPr>
                <w:color w:val="000000" w:themeColor="text1" w:themeShade="BF"/>
              </w:rPr>
              <w:t>Competencies to achieve nationally recognised and accredited qualification</w:t>
            </w:r>
          </w:p>
        </w:tc>
      </w:tr>
      <w:tr w:rsidR="00A121B7" w:rsidRPr="00A121B7" w:rsidTr="00A121B7">
        <w:tc>
          <w:tcPr>
            <w:cnfStyle w:val="001000000000" w:firstRow="0" w:lastRow="0" w:firstColumn="1" w:lastColumn="0" w:oddVBand="0" w:evenVBand="0" w:oddHBand="0" w:evenHBand="0" w:firstRowFirstColumn="0" w:firstRowLastColumn="0" w:lastRowFirstColumn="0" w:lastRowLastColumn="0"/>
            <w:tcW w:w="0" w:type="auto"/>
          </w:tcPr>
          <w:p w:rsidR="00A121B7" w:rsidRPr="00A121B7" w:rsidRDefault="00A121B7" w:rsidP="00A121B7">
            <w:pPr>
              <w:jc w:val="left"/>
              <w:rPr>
                <w:color w:val="000000" w:themeColor="text1" w:themeShade="BF"/>
              </w:rPr>
            </w:pPr>
          </w:p>
        </w:tc>
        <w:tc>
          <w:tcPr>
            <w:tcW w:w="0" w:type="auto"/>
          </w:tcPr>
          <w:p w:rsidR="00A121B7" w:rsidRPr="00A121B7" w:rsidRDefault="00A121B7" w:rsidP="00A121B7">
            <w:pPr>
              <w:jc w:val="left"/>
              <w:cnfStyle w:val="000000000000" w:firstRow="0" w:lastRow="0" w:firstColumn="0" w:lastColumn="0" w:oddVBand="0" w:evenVBand="0" w:oddHBand="0" w:evenHBand="0" w:firstRowFirstColumn="0" w:firstRowLastColumn="0" w:lastRowFirstColumn="0" w:lastRowLastColumn="0"/>
              <w:rPr>
                <w:b/>
                <w:color w:val="000000" w:themeColor="text1" w:themeShade="BF"/>
              </w:rPr>
            </w:pPr>
            <w:r w:rsidRPr="00A121B7">
              <w:rPr>
                <w:b/>
                <w:color w:val="000000" w:themeColor="text1" w:themeShade="BF"/>
              </w:rPr>
              <w:t>Employer and Industry</w:t>
            </w:r>
          </w:p>
        </w:tc>
        <w:tc>
          <w:tcPr>
            <w:tcW w:w="0" w:type="auto"/>
          </w:tcPr>
          <w:p w:rsidR="00A121B7" w:rsidRPr="00A121B7" w:rsidRDefault="00A121B7" w:rsidP="00A121B7">
            <w:pPr>
              <w:cnfStyle w:val="000000000000" w:firstRow="0" w:lastRow="0" w:firstColumn="0" w:lastColumn="0" w:oddVBand="0" w:evenVBand="0" w:oddHBand="0" w:evenHBand="0" w:firstRowFirstColumn="0" w:firstRowLastColumn="0" w:lastRowFirstColumn="0" w:lastRowLastColumn="0"/>
              <w:rPr>
                <w:color w:val="000000" w:themeColor="text1" w:themeShade="BF"/>
              </w:rPr>
            </w:pPr>
            <w:r w:rsidRPr="00A121B7">
              <w:rPr>
                <w:color w:val="000000" w:themeColor="text1" w:themeShade="BF"/>
              </w:rPr>
              <w:t xml:space="preserve">Confidence in skills and knowledge </w:t>
            </w:r>
            <w:r>
              <w:rPr>
                <w:color w:val="000000" w:themeColor="text1" w:themeShade="BF"/>
              </w:rPr>
              <w:t xml:space="preserve">of the ATSIHW </w:t>
            </w:r>
            <w:r w:rsidRPr="00A121B7">
              <w:rPr>
                <w:color w:val="000000" w:themeColor="text1" w:themeShade="BF"/>
              </w:rPr>
              <w:t>to provide health interventions; undertake client and program information management; work effectively with others internal and external to</w:t>
            </w:r>
            <w:r w:rsidR="00700AE5">
              <w:rPr>
                <w:color w:val="000000" w:themeColor="text1" w:themeShade="BF"/>
              </w:rPr>
              <w:t xml:space="preserve"> the</w:t>
            </w:r>
            <w:r w:rsidRPr="00A121B7">
              <w:rPr>
                <w:color w:val="000000" w:themeColor="text1" w:themeShade="BF"/>
              </w:rPr>
              <w:t xml:space="preserve"> workplace</w:t>
            </w:r>
          </w:p>
        </w:tc>
      </w:tr>
      <w:tr w:rsidR="00A121B7" w:rsidRPr="00A121B7" w:rsidTr="00A1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121B7" w:rsidRPr="00A121B7" w:rsidRDefault="00A121B7" w:rsidP="00A121B7">
            <w:pPr>
              <w:jc w:val="left"/>
              <w:rPr>
                <w:color w:val="000000" w:themeColor="text1" w:themeShade="BF"/>
              </w:rPr>
            </w:pPr>
          </w:p>
        </w:tc>
        <w:tc>
          <w:tcPr>
            <w:tcW w:w="0" w:type="auto"/>
          </w:tcPr>
          <w:p w:rsidR="00A121B7" w:rsidRPr="00A121B7" w:rsidRDefault="00A121B7" w:rsidP="00A121B7">
            <w:pPr>
              <w:jc w:val="left"/>
              <w:cnfStyle w:val="000000100000" w:firstRow="0" w:lastRow="0" w:firstColumn="0" w:lastColumn="0" w:oddVBand="0" w:evenVBand="0" w:oddHBand="1" w:evenHBand="0" w:firstRowFirstColumn="0" w:firstRowLastColumn="0" w:lastRowFirstColumn="0" w:lastRowLastColumn="0"/>
              <w:rPr>
                <w:b/>
                <w:color w:val="000000" w:themeColor="text1" w:themeShade="BF"/>
              </w:rPr>
            </w:pPr>
            <w:r w:rsidRPr="00A121B7">
              <w:rPr>
                <w:b/>
                <w:color w:val="000000" w:themeColor="text1" w:themeShade="BF"/>
              </w:rPr>
              <w:t>Funders</w:t>
            </w:r>
          </w:p>
        </w:tc>
        <w:tc>
          <w:tcPr>
            <w:tcW w:w="0" w:type="auto"/>
          </w:tcPr>
          <w:p w:rsidR="00A121B7" w:rsidRPr="00A121B7" w:rsidRDefault="00A121B7" w:rsidP="00A121B7">
            <w:pPr>
              <w:cnfStyle w:val="000000100000" w:firstRow="0" w:lastRow="0" w:firstColumn="0" w:lastColumn="0" w:oddVBand="0" w:evenVBand="0" w:oddHBand="1" w:evenHBand="0" w:firstRowFirstColumn="0" w:firstRowLastColumn="0" w:lastRowFirstColumn="0" w:lastRowLastColumn="0"/>
              <w:rPr>
                <w:color w:val="000000" w:themeColor="text1" w:themeShade="BF"/>
              </w:rPr>
            </w:pPr>
            <w:r w:rsidRPr="00A121B7">
              <w:rPr>
                <w:color w:val="000000" w:themeColor="text1" w:themeShade="BF"/>
              </w:rPr>
              <w:t>RTO has governance, management and training capacity to meet workforce development deliverables</w:t>
            </w:r>
          </w:p>
        </w:tc>
      </w:tr>
      <w:tr w:rsidR="00A121B7" w:rsidRPr="00A121B7" w:rsidTr="00A121B7">
        <w:tc>
          <w:tcPr>
            <w:cnfStyle w:val="001000000000" w:firstRow="0" w:lastRow="0" w:firstColumn="1" w:lastColumn="0" w:oddVBand="0" w:evenVBand="0" w:oddHBand="0" w:evenHBand="0" w:firstRowFirstColumn="0" w:firstRowLastColumn="0" w:lastRowFirstColumn="0" w:lastRowLastColumn="0"/>
            <w:tcW w:w="0" w:type="auto"/>
          </w:tcPr>
          <w:p w:rsidR="00A121B7" w:rsidRPr="00A121B7" w:rsidRDefault="00B47640" w:rsidP="00A121B7">
            <w:pPr>
              <w:numPr>
                <w:ilvl w:val="0"/>
                <w:numId w:val="30"/>
              </w:numPr>
              <w:contextualSpacing/>
              <w:jc w:val="left"/>
              <w:rPr>
                <w:i/>
                <w:color w:val="000000" w:themeColor="text1" w:themeShade="BF"/>
              </w:rPr>
            </w:pPr>
            <w:r>
              <w:rPr>
                <w:i/>
                <w:color w:val="000000" w:themeColor="text1" w:themeShade="BF"/>
              </w:rPr>
              <w:t>Financial viability</w:t>
            </w:r>
            <w:r w:rsidR="003F19B5">
              <w:rPr>
                <w:i/>
                <w:color w:val="000000" w:themeColor="text1" w:themeShade="BF"/>
              </w:rPr>
              <w:t xml:space="preserve"> of the RTO</w:t>
            </w:r>
          </w:p>
        </w:tc>
        <w:tc>
          <w:tcPr>
            <w:tcW w:w="0" w:type="auto"/>
          </w:tcPr>
          <w:p w:rsidR="00A121B7" w:rsidRPr="00A121B7" w:rsidRDefault="00A121B7" w:rsidP="00A121B7">
            <w:pPr>
              <w:jc w:val="left"/>
              <w:cnfStyle w:val="000000000000" w:firstRow="0" w:lastRow="0" w:firstColumn="0" w:lastColumn="0" w:oddVBand="0" w:evenVBand="0" w:oddHBand="0" w:evenHBand="0" w:firstRowFirstColumn="0" w:firstRowLastColumn="0" w:lastRowFirstColumn="0" w:lastRowLastColumn="0"/>
              <w:rPr>
                <w:color w:val="000000" w:themeColor="text1" w:themeShade="BF"/>
              </w:rPr>
            </w:pPr>
          </w:p>
        </w:tc>
        <w:tc>
          <w:tcPr>
            <w:tcW w:w="0" w:type="auto"/>
          </w:tcPr>
          <w:p w:rsidR="00A121B7" w:rsidRPr="00A121B7" w:rsidRDefault="00A121B7" w:rsidP="00A121B7">
            <w:pPr>
              <w:cnfStyle w:val="000000000000" w:firstRow="0" w:lastRow="0" w:firstColumn="0" w:lastColumn="0" w:oddVBand="0" w:evenVBand="0" w:oddHBand="0" w:evenHBand="0" w:firstRowFirstColumn="0" w:firstRowLastColumn="0" w:lastRowFirstColumn="0" w:lastRowLastColumn="0"/>
              <w:rPr>
                <w:color w:val="000000" w:themeColor="text1" w:themeShade="BF"/>
              </w:rPr>
            </w:pPr>
            <w:r w:rsidRPr="00A121B7">
              <w:rPr>
                <w:color w:val="000000" w:themeColor="text1" w:themeShade="BF"/>
              </w:rPr>
              <w:t>Meet operating and governance costs</w:t>
            </w:r>
          </w:p>
        </w:tc>
      </w:tr>
      <w:tr w:rsidR="00A121B7" w:rsidRPr="00A121B7" w:rsidTr="00A1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121B7" w:rsidRPr="00A121B7" w:rsidRDefault="00A121B7" w:rsidP="00A121B7">
            <w:pPr>
              <w:jc w:val="left"/>
              <w:rPr>
                <w:color w:val="000000" w:themeColor="text1" w:themeShade="BF"/>
              </w:rPr>
            </w:pPr>
          </w:p>
        </w:tc>
        <w:tc>
          <w:tcPr>
            <w:tcW w:w="0" w:type="auto"/>
          </w:tcPr>
          <w:p w:rsidR="00A121B7" w:rsidRPr="00A121B7" w:rsidRDefault="00A121B7" w:rsidP="00A121B7">
            <w:pPr>
              <w:jc w:val="left"/>
              <w:cnfStyle w:val="000000100000" w:firstRow="0" w:lastRow="0" w:firstColumn="0" w:lastColumn="0" w:oddVBand="0" w:evenVBand="0" w:oddHBand="1" w:evenHBand="0" w:firstRowFirstColumn="0" w:firstRowLastColumn="0" w:lastRowFirstColumn="0" w:lastRowLastColumn="0"/>
              <w:rPr>
                <w:color w:val="000000" w:themeColor="text1" w:themeShade="BF"/>
              </w:rPr>
            </w:pPr>
          </w:p>
        </w:tc>
        <w:tc>
          <w:tcPr>
            <w:tcW w:w="0" w:type="auto"/>
          </w:tcPr>
          <w:p w:rsidR="00A121B7" w:rsidRPr="00A121B7" w:rsidRDefault="00A121B7" w:rsidP="00A121B7">
            <w:pPr>
              <w:cnfStyle w:val="000000100000" w:firstRow="0" w:lastRow="0" w:firstColumn="0" w:lastColumn="0" w:oddVBand="0" w:evenVBand="0" w:oddHBand="1" w:evenHBand="0" w:firstRowFirstColumn="0" w:firstRowLastColumn="0" w:lastRowFirstColumn="0" w:lastRowLastColumn="0"/>
              <w:rPr>
                <w:color w:val="000000" w:themeColor="text1" w:themeShade="BF"/>
              </w:rPr>
            </w:pPr>
            <w:r w:rsidRPr="00A121B7">
              <w:rPr>
                <w:color w:val="000000" w:themeColor="text1" w:themeShade="BF"/>
              </w:rPr>
              <w:t>Meet training costs, accreditation and compliance</w:t>
            </w:r>
          </w:p>
        </w:tc>
      </w:tr>
      <w:tr w:rsidR="00A121B7" w:rsidRPr="00A121B7" w:rsidTr="00A121B7">
        <w:tc>
          <w:tcPr>
            <w:cnfStyle w:val="001000000000" w:firstRow="0" w:lastRow="0" w:firstColumn="1" w:lastColumn="0" w:oddVBand="0" w:evenVBand="0" w:oddHBand="0" w:evenHBand="0" w:firstRowFirstColumn="0" w:firstRowLastColumn="0" w:lastRowFirstColumn="0" w:lastRowLastColumn="0"/>
            <w:tcW w:w="0" w:type="auto"/>
          </w:tcPr>
          <w:p w:rsidR="00A121B7" w:rsidRPr="00A121B7" w:rsidRDefault="00A121B7" w:rsidP="00A121B7">
            <w:pPr>
              <w:jc w:val="left"/>
              <w:rPr>
                <w:color w:val="000000" w:themeColor="text1" w:themeShade="BF"/>
              </w:rPr>
            </w:pPr>
          </w:p>
        </w:tc>
        <w:tc>
          <w:tcPr>
            <w:tcW w:w="0" w:type="auto"/>
          </w:tcPr>
          <w:p w:rsidR="00A121B7" w:rsidRPr="00A121B7" w:rsidRDefault="00A121B7" w:rsidP="00A121B7">
            <w:pPr>
              <w:jc w:val="left"/>
              <w:cnfStyle w:val="000000000000" w:firstRow="0" w:lastRow="0" w:firstColumn="0" w:lastColumn="0" w:oddVBand="0" w:evenVBand="0" w:oddHBand="0" w:evenHBand="0" w:firstRowFirstColumn="0" w:firstRowLastColumn="0" w:lastRowFirstColumn="0" w:lastRowLastColumn="0"/>
              <w:rPr>
                <w:color w:val="000000" w:themeColor="text1" w:themeShade="BF"/>
              </w:rPr>
            </w:pPr>
          </w:p>
        </w:tc>
        <w:tc>
          <w:tcPr>
            <w:tcW w:w="0" w:type="auto"/>
          </w:tcPr>
          <w:p w:rsidR="00A121B7" w:rsidRPr="00A121B7" w:rsidRDefault="00A121B7" w:rsidP="00A121B7">
            <w:pPr>
              <w:cnfStyle w:val="000000000000" w:firstRow="0" w:lastRow="0" w:firstColumn="0" w:lastColumn="0" w:oddVBand="0" w:evenVBand="0" w:oddHBand="0" w:evenHBand="0" w:firstRowFirstColumn="0" w:firstRowLastColumn="0" w:lastRowFirstColumn="0" w:lastRowLastColumn="0"/>
              <w:rPr>
                <w:color w:val="000000" w:themeColor="text1" w:themeShade="BF"/>
              </w:rPr>
            </w:pPr>
            <w:r w:rsidRPr="00A121B7">
              <w:rPr>
                <w:color w:val="000000" w:themeColor="text1" w:themeShade="BF"/>
              </w:rPr>
              <w:t>Capacity to expand/ develop new market</w:t>
            </w:r>
          </w:p>
        </w:tc>
      </w:tr>
    </w:tbl>
    <w:p w:rsidR="00830EEA" w:rsidRDefault="00830EEA" w:rsidP="00D441E5">
      <w:pPr>
        <w:rPr>
          <w:rFonts w:ascii="Calibri" w:eastAsia="Calibri" w:hAnsi="Calibri" w:cs="Times New Roman"/>
        </w:rPr>
      </w:pPr>
    </w:p>
    <w:p w:rsidR="00700AE5" w:rsidRDefault="00700AE5" w:rsidP="00D441E5">
      <w:r>
        <w:rPr>
          <w:rFonts w:ascii="Calibri" w:eastAsia="Calibri" w:hAnsi="Calibri" w:cs="Times New Roman"/>
        </w:rPr>
        <w:t>However many RTOs (c</w:t>
      </w:r>
      <w:r w:rsidR="00EB1484">
        <w:rPr>
          <w:rFonts w:ascii="Calibri" w:eastAsia="Calibri" w:hAnsi="Calibri" w:cs="Times New Roman"/>
        </w:rPr>
        <w:t xml:space="preserve">ommunity controlled and mainstream) </w:t>
      </w:r>
      <w:r w:rsidR="00EB1484">
        <w:t>service</w:t>
      </w:r>
      <w:r w:rsidR="00EB1484" w:rsidRPr="00830EEA">
        <w:t xml:space="preserve"> a highly disadvantaged student population. Students undertake placements, or work in health services distant to the RTO. The health services frequently have limited capacity to provide supervision and support</w:t>
      </w:r>
      <w:r w:rsidR="00EB1484">
        <w:t xml:space="preserve"> due to high clinical workload and/or staff turnover</w:t>
      </w:r>
      <w:r w:rsidR="00EB1484" w:rsidRPr="00830EEA">
        <w:t>, which can negatively impact on educational outcomes. The short-term funding cycle, and challenges in recruiting and retaining suitably qualified staff within the RTO contributes to lack of internal capacity, financial risk to the organisation, and compounds impact on educ</w:t>
      </w:r>
      <w:r w:rsidR="00EB1484">
        <w:t>ational achievements of the RTO.</w:t>
      </w:r>
      <w:r w:rsidR="003F19B5">
        <w:t xml:space="preserve"> </w:t>
      </w:r>
    </w:p>
    <w:p w:rsidR="00EA562E" w:rsidRPr="00F65A4C" w:rsidRDefault="00EB1484" w:rsidP="00D441E5">
      <w:pPr>
        <w:rPr>
          <w:rFonts w:ascii="Calibri" w:eastAsia="Calibri" w:hAnsi="Calibri"/>
          <w:vertAlign w:val="superscript"/>
        </w:rPr>
      </w:pPr>
      <w:r>
        <w:rPr>
          <w:rFonts w:ascii="Calibri" w:eastAsia="Calibri" w:hAnsi="Calibri" w:cs="Times New Roman"/>
        </w:rPr>
        <w:lastRenderedPageBreak/>
        <w:t>The key</w:t>
      </w:r>
      <w:r w:rsidR="0043235B">
        <w:rPr>
          <w:rFonts w:ascii="Calibri" w:eastAsia="Calibri" w:hAnsi="Calibri" w:cs="Times New Roman"/>
        </w:rPr>
        <w:t xml:space="preserve"> factors</w:t>
      </w:r>
      <w:r>
        <w:rPr>
          <w:rFonts w:ascii="Calibri" w:eastAsia="Calibri" w:hAnsi="Calibri" w:cs="Times New Roman"/>
        </w:rPr>
        <w:t xml:space="preserve"> contributing to the achieve</w:t>
      </w:r>
      <w:r w:rsidR="003F19B5">
        <w:rPr>
          <w:rFonts w:ascii="Calibri" w:eastAsia="Calibri" w:hAnsi="Calibri" w:cs="Times New Roman"/>
        </w:rPr>
        <w:t>ment of educational outcomes relate</w:t>
      </w:r>
      <w:r w:rsidR="00A121B7">
        <w:rPr>
          <w:rFonts w:ascii="Calibri" w:eastAsia="Calibri" w:hAnsi="Calibri" w:cs="Times New Roman"/>
        </w:rPr>
        <w:t xml:space="preserve"> to the RTO</w:t>
      </w:r>
      <w:r w:rsidR="00E7076C">
        <w:rPr>
          <w:rFonts w:ascii="Calibri" w:eastAsia="Calibri" w:hAnsi="Calibri" w:cs="Times New Roman"/>
        </w:rPr>
        <w:t>, the trainin</w:t>
      </w:r>
      <w:r>
        <w:rPr>
          <w:rFonts w:ascii="Calibri" w:eastAsia="Calibri" w:hAnsi="Calibri" w:cs="Times New Roman"/>
        </w:rPr>
        <w:t>g model and the student</w:t>
      </w:r>
      <w:r w:rsidR="003F19B5">
        <w:rPr>
          <w:rFonts w:ascii="Calibri" w:eastAsia="Calibri" w:hAnsi="Calibri" w:cs="Times New Roman"/>
        </w:rPr>
        <w:t xml:space="preserve"> (Table 2).</w:t>
      </w:r>
      <w:r w:rsidRPr="00EB1484">
        <w:rPr>
          <w:rStyle w:val="FootnoteReference"/>
          <w:rFonts w:ascii="Calibri" w:eastAsia="Calibri" w:hAnsi="Calibri"/>
        </w:rPr>
        <w:t xml:space="preserve"> </w:t>
      </w:r>
      <w:r w:rsidR="00F65A4C">
        <w:rPr>
          <w:vertAlign w:val="superscript"/>
        </w:rPr>
        <w:t>8</w:t>
      </w:r>
    </w:p>
    <w:p w:rsidR="003F19B5" w:rsidRPr="003F19B5" w:rsidRDefault="003F19B5" w:rsidP="00D441E5">
      <w:pPr>
        <w:rPr>
          <w:rFonts w:ascii="Calibri" w:eastAsia="Calibri" w:hAnsi="Calibri"/>
          <w:b/>
        </w:rPr>
      </w:pPr>
      <w:r w:rsidRPr="003F19B5">
        <w:rPr>
          <w:rFonts w:ascii="Calibri" w:eastAsia="Calibri" w:hAnsi="Calibri"/>
          <w:b/>
        </w:rPr>
        <w:t>Table 2. Positive and Negative Factors impacting on educational outcomes for ATSIHWs</w:t>
      </w:r>
    </w:p>
    <w:tbl>
      <w:tblPr>
        <w:tblStyle w:val="PlainTable1"/>
        <w:tblW w:w="5000" w:type="pct"/>
        <w:tblLook w:val="04A0" w:firstRow="1" w:lastRow="0" w:firstColumn="1" w:lastColumn="0" w:noHBand="0" w:noVBand="1"/>
      </w:tblPr>
      <w:tblGrid>
        <w:gridCol w:w="3328"/>
        <w:gridCol w:w="2898"/>
        <w:gridCol w:w="2790"/>
      </w:tblGrid>
      <w:tr w:rsidR="00EA562E" w:rsidRPr="00EA562E" w:rsidTr="00700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center"/>
              <w:rPr>
                <w:sz w:val="20"/>
                <w:szCs w:val="20"/>
              </w:rPr>
            </w:pPr>
            <w:r w:rsidRPr="00EA562E">
              <w:rPr>
                <w:sz w:val="20"/>
                <w:szCs w:val="20"/>
              </w:rPr>
              <w:t>Factor</w:t>
            </w:r>
          </w:p>
        </w:tc>
        <w:tc>
          <w:tcPr>
            <w:tcW w:w="1607" w:type="pct"/>
          </w:tcPr>
          <w:p w:rsidR="00EA562E" w:rsidRPr="00EA562E" w:rsidRDefault="00EA562E" w:rsidP="00EA562E">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562E">
              <w:rPr>
                <w:sz w:val="20"/>
                <w:szCs w:val="20"/>
              </w:rPr>
              <w:t>Positive</w:t>
            </w:r>
          </w:p>
        </w:tc>
        <w:tc>
          <w:tcPr>
            <w:tcW w:w="1547" w:type="pct"/>
          </w:tcPr>
          <w:p w:rsidR="00EA562E" w:rsidRPr="00EA562E" w:rsidRDefault="00EA562E" w:rsidP="00EA562E">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562E">
              <w:rPr>
                <w:sz w:val="20"/>
                <w:szCs w:val="20"/>
              </w:rPr>
              <w:t>Negative</w:t>
            </w:r>
          </w:p>
        </w:tc>
      </w:tr>
      <w:tr w:rsidR="00EA562E" w:rsidRPr="00EA562E" w:rsidTr="00700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EA562E" w:rsidRPr="00EA562E" w:rsidRDefault="00EA562E" w:rsidP="00EA562E">
            <w:pPr>
              <w:jc w:val="center"/>
              <w:rPr>
                <w:color w:val="984806" w:themeColor="accent6" w:themeShade="80"/>
                <w:sz w:val="20"/>
                <w:szCs w:val="20"/>
              </w:rPr>
            </w:pPr>
            <w:r w:rsidRPr="00EA562E">
              <w:rPr>
                <w:i/>
                <w:color w:val="984806" w:themeColor="accent6" w:themeShade="80"/>
                <w:sz w:val="20"/>
                <w:szCs w:val="20"/>
              </w:rPr>
              <w:t>RTO related</w:t>
            </w:r>
          </w:p>
        </w:tc>
      </w:tr>
      <w:tr w:rsidR="00EA562E" w:rsidRPr="00EA562E" w:rsidTr="00700AE5">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Quality of governance and management</w:t>
            </w:r>
          </w:p>
        </w:tc>
        <w:tc>
          <w:tcPr>
            <w:tcW w:w="1607" w:type="pct"/>
          </w:tcPr>
          <w:p w:rsidR="00EA562E" w:rsidRPr="00EA562E" w:rsidRDefault="00EA562E" w:rsidP="00EA562E">
            <w:pPr>
              <w:numPr>
                <w:ilvl w:val="0"/>
                <w:numId w:val="24"/>
              </w:numPr>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Builds capacity to identify and act on opportunities</w:t>
            </w:r>
          </w:p>
        </w:tc>
        <w:tc>
          <w:tcPr>
            <w:tcW w:w="1547" w:type="pct"/>
          </w:tcPr>
          <w:p w:rsidR="00EA562E" w:rsidRPr="00EA562E" w:rsidRDefault="00EA562E" w:rsidP="00EA562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EA562E" w:rsidRPr="00EA562E" w:rsidTr="00700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Short term funding, multiple small funding sources</w:t>
            </w:r>
          </w:p>
        </w:tc>
        <w:tc>
          <w:tcPr>
            <w:tcW w:w="1607" w:type="pct"/>
          </w:tcPr>
          <w:p w:rsidR="00EA562E" w:rsidRPr="00EA562E" w:rsidRDefault="00EA562E" w:rsidP="00EA562E">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47" w:type="pct"/>
          </w:tcPr>
          <w:p w:rsidR="00EA562E" w:rsidRPr="00EA562E" w:rsidRDefault="00EA562E" w:rsidP="00EA562E">
            <w:pPr>
              <w:numPr>
                <w:ilvl w:val="0"/>
                <w:numId w:val="23"/>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Heavy reporting burden</w:t>
            </w:r>
          </w:p>
          <w:p w:rsidR="00EA562E" w:rsidRPr="00EA562E" w:rsidRDefault="00EA562E" w:rsidP="00EA562E">
            <w:pPr>
              <w:numPr>
                <w:ilvl w:val="0"/>
                <w:numId w:val="23"/>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Difficulties in recruitment and retention of quality staff</w:t>
            </w:r>
          </w:p>
          <w:p w:rsidR="00EA562E" w:rsidRPr="00EA562E" w:rsidRDefault="00EA562E" w:rsidP="00EA562E">
            <w:pPr>
              <w:numPr>
                <w:ilvl w:val="0"/>
                <w:numId w:val="23"/>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Challenges the development of internal capacity within RTO</w:t>
            </w:r>
          </w:p>
        </w:tc>
      </w:tr>
      <w:tr w:rsidR="00EA562E" w:rsidRPr="00EA562E" w:rsidTr="00700AE5">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Small and dispersed market</w:t>
            </w:r>
          </w:p>
        </w:tc>
        <w:tc>
          <w:tcPr>
            <w:tcW w:w="1607" w:type="pct"/>
          </w:tcPr>
          <w:p w:rsidR="00EA562E" w:rsidRPr="00EA562E" w:rsidRDefault="00EA562E" w:rsidP="00EA562E">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47" w:type="pct"/>
          </w:tcPr>
          <w:p w:rsidR="00EA562E" w:rsidRPr="00EA562E" w:rsidRDefault="00EA562E" w:rsidP="00EA562E">
            <w:pPr>
              <w:numPr>
                <w:ilvl w:val="0"/>
                <w:numId w:val="23"/>
              </w:numPr>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Difficult to develop economies of scale, financial viability, resource intensive</w:t>
            </w:r>
          </w:p>
        </w:tc>
      </w:tr>
      <w:tr w:rsidR="00EA562E" w:rsidRPr="00EA562E" w:rsidTr="00700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Competitive funding- payment on completion, place allocation</w:t>
            </w:r>
          </w:p>
        </w:tc>
        <w:tc>
          <w:tcPr>
            <w:tcW w:w="1607" w:type="pct"/>
          </w:tcPr>
          <w:p w:rsidR="00EA562E" w:rsidRPr="00EA562E" w:rsidRDefault="00EA562E" w:rsidP="00EA562E">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47" w:type="pct"/>
          </w:tcPr>
          <w:p w:rsidR="00EA562E" w:rsidRPr="00EA562E" w:rsidRDefault="00EA562E" w:rsidP="00EA562E">
            <w:pPr>
              <w:numPr>
                <w:ilvl w:val="0"/>
                <w:numId w:val="23"/>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Decreases financial viability where retention in training is challenged</w:t>
            </w:r>
          </w:p>
          <w:p w:rsidR="00EA562E" w:rsidRPr="00EA562E" w:rsidRDefault="00EA562E" w:rsidP="00EA562E">
            <w:pPr>
              <w:numPr>
                <w:ilvl w:val="0"/>
                <w:numId w:val="23"/>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Prolonged completion time impacts on cash flow</w:t>
            </w:r>
          </w:p>
        </w:tc>
      </w:tr>
      <w:tr w:rsidR="00EA562E" w:rsidRPr="00EA562E" w:rsidTr="00700AE5">
        <w:tc>
          <w:tcPr>
            <w:cnfStyle w:val="001000000000" w:firstRow="0" w:lastRow="0" w:firstColumn="1" w:lastColumn="0" w:oddVBand="0" w:evenVBand="0" w:oddHBand="0" w:evenHBand="0" w:firstRowFirstColumn="0" w:firstRowLastColumn="0" w:lastRowFirstColumn="0" w:lastRowLastColumn="0"/>
            <w:tcW w:w="5000" w:type="pct"/>
            <w:gridSpan w:val="3"/>
          </w:tcPr>
          <w:p w:rsidR="00EA562E" w:rsidRPr="00EA562E" w:rsidRDefault="00EA562E" w:rsidP="00EA562E">
            <w:pPr>
              <w:jc w:val="center"/>
              <w:rPr>
                <w:color w:val="984806" w:themeColor="accent6" w:themeShade="80"/>
                <w:sz w:val="20"/>
                <w:szCs w:val="20"/>
              </w:rPr>
            </w:pPr>
            <w:r w:rsidRPr="00EA562E">
              <w:rPr>
                <w:i/>
                <w:color w:val="984806" w:themeColor="accent6" w:themeShade="80"/>
                <w:sz w:val="20"/>
                <w:szCs w:val="20"/>
              </w:rPr>
              <w:t>Training Model</w:t>
            </w:r>
          </w:p>
        </w:tc>
      </w:tr>
      <w:tr w:rsidR="00EA562E" w:rsidRPr="00EA562E" w:rsidTr="00700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Block training</w:t>
            </w:r>
          </w:p>
        </w:tc>
        <w:tc>
          <w:tcPr>
            <w:tcW w:w="1607" w:type="pct"/>
          </w:tcPr>
          <w:p w:rsidR="00EA562E" w:rsidRPr="00EA562E" w:rsidRDefault="00EA562E" w:rsidP="00EA562E">
            <w:pPr>
              <w:numPr>
                <w:ilvl w:val="0"/>
                <w:numId w:val="25"/>
              </w:numPr>
              <w:ind w:left="386" w:hanging="327"/>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Economies in training delivery</w:t>
            </w:r>
          </w:p>
        </w:tc>
        <w:tc>
          <w:tcPr>
            <w:tcW w:w="1547" w:type="pct"/>
          </w:tcPr>
          <w:p w:rsidR="00EA562E" w:rsidRPr="00EA562E" w:rsidRDefault="00EA562E" w:rsidP="00EA562E">
            <w:pPr>
              <w:numPr>
                <w:ilvl w:val="0"/>
                <w:numId w:val="25"/>
              </w:numPr>
              <w:ind w:left="322" w:hanging="385"/>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Barrier to enrolment</w:t>
            </w:r>
          </w:p>
          <w:p w:rsidR="00EA562E" w:rsidRPr="00EA562E" w:rsidRDefault="00EA562E" w:rsidP="00EA562E">
            <w:pPr>
              <w:numPr>
                <w:ilvl w:val="0"/>
                <w:numId w:val="25"/>
              </w:numPr>
              <w:ind w:left="322" w:hanging="385"/>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Increased risk of withdrawal – family and community responsibilities</w:t>
            </w:r>
          </w:p>
          <w:p w:rsidR="00EA562E" w:rsidRPr="00EA562E" w:rsidRDefault="00EA562E" w:rsidP="00EA562E">
            <w:pPr>
              <w:numPr>
                <w:ilvl w:val="0"/>
                <w:numId w:val="25"/>
              </w:numPr>
              <w:ind w:left="322" w:hanging="385"/>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Release for training, financial disincentives to student and employer</w:t>
            </w:r>
          </w:p>
        </w:tc>
      </w:tr>
      <w:tr w:rsidR="00EA562E" w:rsidRPr="00EA562E" w:rsidTr="00700AE5">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202401">
            <w:pPr>
              <w:jc w:val="left"/>
              <w:rPr>
                <w:sz w:val="20"/>
                <w:szCs w:val="20"/>
              </w:rPr>
            </w:pPr>
            <w:r w:rsidRPr="00EA562E">
              <w:rPr>
                <w:sz w:val="20"/>
                <w:szCs w:val="20"/>
              </w:rPr>
              <w:t>Capacity of employer/ workplace</w:t>
            </w:r>
            <w:r w:rsidR="00202401">
              <w:rPr>
                <w:rStyle w:val="FootnoteReference"/>
                <w:sz w:val="20"/>
                <w:szCs w:val="20"/>
              </w:rPr>
              <w:footnoteReference w:id="1"/>
            </w:r>
            <w:r w:rsidRPr="00EA562E">
              <w:rPr>
                <w:sz w:val="20"/>
                <w:szCs w:val="20"/>
              </w:rPr>
              <w:t xml:space="preserve"> to provide supervision to support student and skills development</w:t>
            </w:r>
          </w:p>
        </w:tc>
        <w:tc>
          <w:tcPr>
            <w:tcW w:w="1607" w:type="pct"/>
          </w:tcPr>
          <w:p w:rsidR="00EA562E" w:rsidRPr="00EA562E" w:rsidRDefault="00EA562E" w:rsidP="00EA562E">
            <w:pPr>
              <w:numPr>
                <w:ilvl w:val="0"/>
                <w:numId w:val="25"/>
              </w:numPr>
              <w:ind w:left="282" w:hanging="198"/>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 xml:space="preserve">Where available, improves retention, competency completion </w:t>
            </w:r>
          </w:p>
        </w:tc>
        <w:tc>
          <w:tcPr>
            <w:tcW w:w="1547" w:type="pct"/>
          </w:tcPr>
          <w:p w:rsidR="00EA562E" w:rsidRPr="00EA562E" w:rsidRDefault="00EA562E" w:rsidP="00EA562E">
            <w:pPr>
              <w:numPr>
                <w:ilvl w:val="0"/>
                <w:numId w:val="25"/>
              </w:numPr>
              <w:ind w:left="322" w:hanging="385"/>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Not available, prolongs development of skills and competencies</w:t>
            </w:r>
          </w:p>
          <w:p w:rsidR="00EA562E" w:rsidRPr="00EA562E" w:rsidRDefault="00EA562E" w:rsidP="00EA562E">
            <w:pPr>
              <w:numPr>
                <w:ilvl w:val="0"/>
                <w:numId w:val="25"/>
              </w:numPr>
              <w:ind w:left="322" w:hanging="385"/>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Increased risk of withdrawal</w:t>
            </w:r>
          </w:p>
        </w:tc>
      </w:tr>
      <w:tr w:rsidR="00EA562E" w:rsidRPr="00EA562E" w:rsidTr="00700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Negotiated and agreed role and responsibility of RTO, workplace and student</w:t>
            </w:r>
          </w:p>
        </w:tc>
        <w:tc>
          <w:tcPr>
            <w:tcW w:w="1607" w:type="pct"/>
          </w:tcPr>
          <w:p w:rsidR="00EA562E" w:rsidRPr="00EA562E" w:rsidRDefault="00EA562E" w:rsidP="00EA562E">
            <w:pPr>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Promotes supportive learning in the workplace</w:t>
            </w:r>
          </w:p>
          <w:p w:rsidR="00EA562E" w:rsidRPr="00EA562E" w:rsidRDefault="00EA562E" w:rsidP="00EA562E">
            <w:pPr>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Improves student retention</w:t>
            </w:r>
          </w:p>
          <w:p w:rsidR="00EA562E" w:rsidRPr="00EA562E" w:rsidRDefault="00EA562E" w:rsidP="00EA562E">
            <w:pPr>
              <w:numPr>
                <w:ilvl w:val="0"/>
                <w:numId w:val="26"/>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Promotes work readiness</w:t>
            </w:r>
          </w:p>
        </w:tc>
        <w:tc>
          <w:tcPr>
            <w:tcW w:w="1547" w:type="pct"/>
          </w:tcPr>
          <w:p w:rsidR="00EA562E" w:rsidRPr="00EA562E" w:rsidRDefault="00EA562E" w:rsidP="00EA562E">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EA562E" w:rsidRPr="00EA562E" w:rsidTr="00700AE5">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Capacity for workplace competency assessment</w:t>
            </w:r>
          </w:p>
        </w:tc>
        <w:tc>
          <w:tcPr>
            <w:tcW w:w="1607" w:type="pct"/>
          </w:tcPr>
          <w:p w:rsidR="00EA562E" w:rsidRPr="00EA562E" w:rsidRDefault="00EA562E" w:rsidP="00EA562E">
            <w:pPr>
              <w:numPr>
                <w:ilvl w:val="0"/>
                <w:numId w:val="28"/>
              </w:numPr>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Timely assessment to promote competency completion</w:t>
            </w:r>
          </w:p>
          <w:p w:rsidR="00EA562E" w:rsidRPr="00EA562E" w:rsidRDefault="00EA562E" w:rsidP="00EA562E">
            <w:pPr>
              <w:numPr>
                <w:ilvl w:val="0"/>
                <w:numId w:val="28"/>
              </w:numPr>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Capacity to undertake Recognition of Prior Learning assessment</w:t>
            </w:r>
          </w:p>
        </w:tc>
        <w:tc>
          <w:tcPr>
            <w:tcW w:w="1547" w:type="pct"/>
          </w:tcPr>
          <w:p w:rsidR="00EA562E" w:rsidRPr="00EA562E" w:rsidRDefault="00EA562E" w:rsidP="00EA562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EA562E" w:rsidRPr="00EA562E" w:rsidTr="00700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EA562E" w:rsidRPr="00EA562E" w:rsidRDefault="00EA562E" w:rsidP="00EA562E">
            <w:pPr>
              <w:jc w:val="center"/>
              <w:rPr>
                <w:color w:val="984806" w:themeColor="accent6" w:themeShade="80"/>
                <w:sz w:val="20"/>
                <w:szCs w:val="20"/>
              </w:rPr>
            </w:pPr>
            <w:r w:rsidRPr="00EA562E">
              <w:rPr>
                <w:i/>
                <w:color w:val="984806" w:themeColor="accent6" w:themeShade="80"/>
                <w:sz w:val="20"/>
                <w:szCs w:val="20"/>
              </w:rPr>
              <w:t>Student</w:t>
            </w:r>
          </w:p>
        </w:tc>
      </w:tr>
      <w:tr w:rsidR="00EA562E" w:rsidRPr="00EA562E" w:rsidTr="00700AE5">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t>Student literacy and numeracy support</w:t>
            </w:r>
          </w:p>
        </w:tc>
        <w:tc>
          <w:tcPr>
            <w:tcW w:w="1607" w:type="pct"/>
          </w:tcPr>
          <w:p w:rsidR="00EA562E" w:rsidRPr="00EA562E" w:rsidRDefault="00EA562E" w:rsidP="00EA562E">
            <w:pPr>
              <w:numPr>
                <w:ilvl w:val="0"/>
                <w:numId w:val="27"/>
              </w:numPr>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Improves retention in training</w:t>
            </w:r>
          </w:p>
          <w:p w:rsidR="00EA562E" w:rsidRPr="00EA562E" w:rsidRDefault="00EA562E" w:rsidP="00EA562E">
            <w:pPr>
              <w:numPr>
                <w:ilvl w:val="0"/>
                <w:numId w:val="27"/>
              </w:numPr>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lastRenderedPageBreak/>
              <w:t>Facilitates completion of competencies</w:t>
            </w:r>
          </w:p>
          <w:p w:rsidR="00EA562E" w:rsidRPr="00EA562E" w:rsidRDefault="00EA562E" w:rsidP="00EA562E">
            <w:pPr>
              <w:numPr>
                <w:ilvl w:val="0"/>
                <w:numId w:val="27"/>
              </w:numPr>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EA562E">
              <w:rPr>
                <w:sz w:val="20"/>
                <w:szCs w:val="20"/>
              </w:rPr>
              <w:t>Promotes capability to undertake administrative and support tasks in workplace</w:t>
            </w:r>
          </w:p>
        </w:tc>
        <w:tc>
          <w:tcPr>
            <w:tcW w:w="1547" w:type="pct"/>
          </w:tcPr>
          <w:p w:rsidR="00EA562E" w:rsidRPr="00EA562E" w:rsidRDefault="00EA562E" w:rsidP="00EA562E">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EA562E" w:rsidRPr="00EA562E" w:rsidTr="00700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Pr>
          <w:p w:rsidR="00EA562E" w:rsidRPr="00EA562E" w:rsidRDefault="00EA562E" w:rsidP="00EA562E">
            <w:pPr>
              <w:jc w:val="left"/>
              <w:rPr>
                <w:sz w:val="20"/>
                <w:szCs w:val="20"/>
              </w:rPr>
            </w:pPr>
            <w:r w:rsidRPr="00EA562E">
              <w:rPr>
                <w:sz w:val="20"/>
                <w:szCs w:val="20"/>
              </w:rPr>
              <w:lastRenderedPageBreak/>
              <w:t>Inadequacy of financial support (Abstudy, Away from Base)</w:t>
            </w:r>
          </w:p>
          <w:p w:rsidR="00EA562E" w:rsidRPr="00EA562E" w:rsidRDefault="00EA562E" w:rsidP="00EA562E">
            <w:pPr>
              <w:jc w:val="left"/>
              <w:rPr>
                <w:sz w:val="20"/>
                <w:szCs w:val="20"/>
              </w:rPr>
            </w:pPr>
          </w:p>
        </w:tc>
        <w:tc>
          <w:tcPr>
            <w:tcW w:w="1607" w:type="pct"/>
          </w:tcPr>
          <w:p w:rsidR="00EA562E" w:rsidRPr="00EA562E" w:rsidRDefault="00EA562E" w:rsidP="00EA562E">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47" w:type="pct"/>
          </w:tcPr>
          <w:p w:rsidR="00EA562E" w:rsidRPr="00EA562E" w:rsidRDefault="00EA562E" w:rsidP="00EA562E">
            <w:pPr>
              <w:numPr>
                <w:ilvl w:val="0"/>
                <w:numId w:val="29"/>
              </w:numPr>
              <w:contextualSpacing/>
              <w:jc w:val="left"/>
              <w:cnfStyle w:val="000000100000" w:firstRow="0" w:lastRow="0" w:firstColumn="0" w:lastColumn="0" w:oddVBand="0" w:evenVBand="0" w:oddHBand="1" w:evenHBand="0" w:firstRowFirstColumn="0" w:firstRowLastColumn="0" w:lastRowFirstColumn="0" w:lastRowLastColumn="0"/>
              <w:rPr>
                <w:sz w:val="20"/>
                <w:szCs w:val="20"/>
              </w:rPr>
            </w:pPr>
            <w:r w:rsidRPr="00EA562E">
              <w:rPr>
                <w:sz w:val="20"/>
                <w:szCs w:val="20"/>
              </w:rPr>
              <w:t>Wi</w:t>
            </w:r>
            <w:r w:rsidR="00EB1484">
              <w:rPr>
                <w:sz w:val="20"/>
                <w:szCs w:val="20"/>
              </w:rPr>
              <w:t xml:space="preserve">thdrawal from training, source </w:t>
            </w:r>
            <w:r w:rsidRPr="00EA562E">
              <w:rPr>
                <w:sz w:val="20"/>
                <w:szCs w:val="20"/>
              </w:rPr>
              <w:t>alternative employment options</w:t>
            </w:r>
          </w:p>
        </w:tc>
      </w:tr>
    </w:tbl>
    <w:p w:rsidR="00EA562E" w:rsidRDefault="00EA562E" w:rsidP="00D441E5">
      <w:pPr>
        <w:rPr>
          <w:rFonts w:ascii="Calibri" w:eastAsia="Calibri" w:hAnsi="Calibri" w:cs="Times New Roman"/>
        </w:rPr>
      </w:pPr>
    </w:p>
    <w:p w:rsidR="00830EEA" w:rsidRPr="00830EEA" w:rsidRDefault="00830EEA" w:rsidP="00830EEA">
      <w:r>
        <w:t xml:space="preserve">Therefore </w:t>
      </w:r>
      <w:r w:rsidRPr="00830EEA">
        <w:t>building the capacity of RTOs to support and develop th</w:t>
      </w:r>
      <w:r>
        <w:t xml:space="preserve">e </w:t>
      </w:r>
      <w:r w:rsidR="003F19B5">
        <w:t xml:space="preserve">ATSIHW </w:t>
      </w:r>
      <w:r w:rsidRPr="00830EEA">
        <w:t>workforce requires:</w:t>
      </w:r>
    </w:p>
    <w:p w:rsidR="00830EEA" w:rsidRPr="00830EEA" w:rsidRDefault="00830EEA" w:rsidP="00830EEA">
      <w:pPr>
        <w:numPr>
          <w:ilvl w:val="0"/>
          <w:numId w:val="31"/>
        </w:numPr>
        <w:contextualSpacing/>
      </w:pPr>
      <w:r w:rsidRPr="00830EEA">
        <w:t>Longer term investment in organisations to attract and retain suitable and skilled staff, establish and maintain strong governance and management structures and processes, with adequate resourcing to provide the training model best suited to the needs of students, employers and communities</w:t>
      </w:r>
    </w:p>
    <w:p w:rsidR="00830EEA" w:rsidRPr="00830EEA" w:rsidRDefault="00830EEA" w:rsidP="00830EEA">
      <w:pPr>
        <w:numPr>
          <w:ilvl w:val="0"/>
          <w:numId w:val="31"/>
        </w:numPr>
        <w:contextualSpacing/>
      </w:pPr>
      <w:r w:rsidRPr="00830EEA">
        <w:t>Establishing an enabling environment within the workplace to support the education and training delivered by RTOs to improve educational outcomes for students</w:t>
      </w:r>
    </w:p>
    <w:p w:rsidR="00195D76" w:rsidRDefault="003F19B5" w:rsidP="00830EEA">
      <w:pPr>
        <w:numPr>
          <w:ilvl w:val="0"/>
          <w:numId w:val="31"/>
        </w:numPr>
        <w:contextualSpacing/>
      </w:pPr>
      <w:r>
        <w:t>P</w:t>
      </w:r>
      <w:r w:rsidR="00830EEA" w:rsidRPr="00830EEA">
        <w:t xml:space="preserve">rogram administration and reporting mechanisms that support the RTOs to maximise existing capacity, rather than deplete it, such that over time they can access existing and alternative funding streams and meet new training markets. </w:t>
      </w:r>
    </w:p>
    <w:p w:rsidR="00B47640" w:rsidRDefault="00B47640" w:rsidP="00B47640">
      <w:pPr>
        <w:ind w:left="720"/>
        <w:contextualSpacing/>
      </w:pPr>
    </w:p>
    <w:p w:rsidR="003F19B5" w:rsidRPr="003F19B5" w:rsidRDefault="003F19B5" w:rsidP="003F19B5">
      <w:pPr>
        <w:contextualSpacing/>
        <w:rPr>
          <w:b/>
        </w:rPr>
      </w:pPr>
      <w:r w:rsidRPr="003F19B5">
        <w:rPr>
          <w:b/>
        </w:rPr>
        <w:t>Overview of Sustainable Business Model</w:t>
      </w:r>
      <w:r w:rsidR="00700AE5">
        <w:rPr>
          <w:b/>
          <w:vertAlign w:val="superscript"/>
        </w:rPr>
        <w:t>8</w:t>
      </w:r>
      <w:r w:rsidRPr="003F19B5">
        <w:rPr>
          <w:b/>
        </w:rPr>
        <w:t xml:space="preserve"> </w:t>
      </w:r>
    </w:p>
    <w:p w:rsidR="00830EEA" w:rsidRPr="00830EEA" w:rsidRDefault="00830EEA" w:rsidP="00830EEA">
      <w:r w:rsidRPr="00830EEA">
        <w:t>A sustainable model to support the training and development of the Aboriginal and Torres Strait Islander health workforce requires a symbiotic partnership between three components:</w:t>
      </w:r>
    </w:p>
    <w:p w:rsidR="00830EEA" w:rsidRPr="00830EEA" w:rsidRDefault="00830EEA" w:rsidP="00830EEA">
      <w:pPr>
        <w:numPr>
          <w:ilvl w:val="0"/>
          <w:numId w:val="32"/>
        </w:numPr>
        <w:ind w:left="720"/>
        <w:contextualSpacing/>
      </w:pPr>
      <w:r w:rsidRPr="00830EEA">
        <w:t>The organisation delivering training (the RTO)</w:t>
      </w:r>
    </w:p>
    <w:p w:rsidR="00830EEA" w:rsidRPr="00830EEA" w:rsidRDefault="00830EEA" w:rsidP="00830EEA">
      <w:pPr>
        <w:numPr>
          <w:ilvl w:val="0"/>
          <w:numId w:val="32"/>
        </w:numPr>
        <w:ind w:left="720"/>
        <w:contextualSpacing/>
      </w:pPr>
      <w:r w:rsidRPr="00830EEA">
        <w:t>The student</w:t>
      </w:r>
    </w:p>
    <w:p w:rsidR="00830EEA" w:rsidRPr="00830EEA" w:rsidRDefault="00830EEA" w:rsidP="00830EEA">
      <w:pPr>
        <w:numPr>
          <w:ilvl w:val="0"/>
          <w:numId w:val="32"/>
        </w:numPr>
        <w:ind w:left="720"/>
        <w:contextualSpacing/>
      </w:pPr>
      <w:r w:rsidRPr="00830EEA">
        <w:t>The employer and workplace.</w:t>
      </w:r>
    </w:p>
    <w:p w:rsidR="00195D76" w:rsidRDefault="00195D76" w:rsidP="00830EEA">
      <w:pPr>
        <w:rPr>
          <w:b/>
        </w:rPr>
      </w:pPr>
    </w:p>
    <w:p w:rsidR="00830EEA" w:rsidRPr="00830EEA" w:rsidRDefault="00830EEA" w:rsidP="00830EEA">
      <w:pPr>
        <w:rPr>
          <w:b/>
        </w:rPr>
      </w:pPr>
      <w:r w:rsidRPr="00830EEA">
        <w:rPr>
          <w:b/>
        </w:rPr>
        <w:t>Component 1: RTO</w:t>
      </w:r>
    </w:p>
    <w:p w:rsidR="00830EEA" w:rsidRPr="00830EEA" w:rsidRDefault="00830EEA" w:rsidP="00830EEA">
      <w:r w:rsidRPr="00830EEA">
        <w:rPr>
          <w:i/>
        </w:rPr>
        <w:t>Financial viability</w:t>
      </w:r>
      <w:r w:rsidRPr="00830EEA">
        <w:t xml:space="preserve"> - through established and skilled governance and management processes; core operational funding to enable capacity to source alternate training funds and meet emergent training needs; training delivery costed from first principles; breadth of qualifications to build critical mass; effective student data information management systems to support compliance and reporting; infrastructure and equipment.</w:t>
      </w:r>
    </w:p>
    <w:p w:rsidR="00830EEA" w:rsidRPr="00830EEA" w:rsidRDefault="00830EEA" w:rsidP="00830EEA">
      <w:r w:rsidRPr="00830EEA">
        <w:rPr>
          <w:i/>
        </w:rPr>
        <w:t>Educational outcomes achieved</w:t>
      </w:r>
      <w:r w:rsidRPr="00830EEA">
        <w:t xml:space="preserve"> - through Aboriginal and Torres Strait Islanders as key members of the training and assessment team; student support and mentoring; training model that supports engagement of men and women and relevant to urban, regional and remote; capacity to provide language, literacy and numeracy support; skills development in information management; capacity to RPL; training workplace preceptors; quality and accredited courses; partnership agreement with employer/workplace to articulate roles and responsibilities of the RTO, workplace and student.</w:t>
      </w:r>
    </w:p>
    <w:p w:rsidR="003C1527" w:rsidRDefault="003C1527" w:rsidP="00830EEA">
      <w:pPr>
        <w:rPr>
          <w:b/>
        </w:rPr>
      </w:pPr>
    </w:p>
    <w:p w:rsidR="00830EEA" w:rsidRPr="00830EEA" w:rsidRDefault="00830EEA" w:rsidP="00830EEA">
      <w:pPr>
        <w:rPr>
          <w:b/>
        </w:rPr>
      </w:pPr>
      <w:r w:rsidRPr="00830EEA">
        <w:rPr>
          <w:b/>
        </w:rPr>
        <w:lastRenderedPageBreak/>
        <w:t>Component 2: The Student</w:t>
      </w:r>
    </w:p>
    <w:p w:rsidR="00830EEA" w:rsidRPr="00830EEA" w:rsidRDefault="00830EEA" w:rsidP="00830EEA">
      <w:r w:rsidRPr="00830EEA">
        <w:t>Commencement and completion of training achieved through – “living wage” and financial support to meet training travel costs; community and family support; availability of childcare during training blocks; position description to articulate training plan, workplace/placement and training expectations, and tasks in scope.</w:t>
      </w:r>
    </w:p>
    <w:p w:rsidR="00830EEA" w:rsidRPr="00830EEA" w:rsidRDefault="00830EEA" w:rsidP="00830EEA">
      <w:pPr>
        <w:rPr>
          <w:b/>
        </w:rPr>
      </w:pPr>
      <w:r w:rsidRPr="00830EEA">
        <w:rPr>
          <w:b/>
        </w:rPr>
        <w:t>Component 3: The Employer/Workplace</w:t>
      </w:r>
    </w:p>
    <w:p w:rsidR="00830EEA" w:rsidRPr="00830EEA" w:rsidRDefault="00830EEA" w:rsidP="00830EEA">
      <w:r w:rsidRPr="00830EEA">
        <w:t>Promote student educational outcomes through – identified preceptor in workplace; local/regional clinical educator to provide clinical training and support in the workplace; cultural mentor; designated study space and resources; timely workplace assessment; organisational culture to support learning and development of staff.</w:t>
      </w:r>
    </w:p>
    <w:p w:rsidR="00830EEA" w:rsidRPr="00830EEA" w:rsidRDefault="00830EEA" w:rsidP="00830EEA">
      <w:r w:rsidRPr="00830EEA">
        <w:t>To implement this model requires</w:t>
      </w:r>
      <w:r w:rsidR="003F19B5">
        <w:t xml:space="preserve"> changes to the current </w:t>
      </w:r>
      <w:r w:rsidR="00080C80">
        <w:t>training model inclusive of</w:t>
      </w:r>
      <w:r w:rsidRPr="00830EEA">
        <w:t>:</w:t>
      </w:r>
    </w:p>
    <w:p w:rsidR="00195D76" w:rsidRDefault="00830EEA" w:rsidP="00963483">
      <w:pPr>
        <w:numPr>
          <w:ilvl w:val="0"/>
          <w:numId w:val="33"/>
        </w:numPr>
        <w:ind w:left="720"/>
        <w:contextualSpacing/>
      </w:pPr>
      <w:r w:rsidRPr="00830EEA">
        <w:t xml:space="preserve">Structural shift in responsibility to employer/workplace as a training partner, supported through funded preceptor and regional clinical educator </w:t>
      </w:r>
    </w:p>
    <w:p w:rsidR="00830EEA" w:rsidRPr="00830EEA" w:rsidRDefault="00830EEA" w:rsidP="00963483">
      <w:pPr>
        <w:numPr>
          <w:ilvl w:val="0"/>
          <w:numId w:val="33"/>
        </w:numPr>
        <w:ind w:left="720"/>
        <w:contextualSpacing/>
      </w:pPr>
      <w:r w:rsidRPr="00830EEA">
        <w:t>Increased utilisation of traineeships and apprenticeships by the employers to support a living wage for the student</w:t>
      </w:r>
    </w:p>
    <w:p w:rsidR="00830EEA" w:rsidRPr="00830EEA" w:rsidRDefault="00830EEA" w:rsidP="00830EEA">
      <w:pPr>
        <w:numPr>
          <w:ilvl w:val="0"/>
          <w:numId w:val="33"/>
        </w:numPr>
        <w:ind w:left="720"/>
        <w:contextualSpacing/>
      </w:pPr>
      <w:r w:rsidRPr="00830EEA">
        <w:t>Partnership agreement between RTO, employer and student</w:t>
      </w:r>
    </w:p>
    <w:p w:rsidR="00195D76" w:rsidRDefault="00830EEA" w:rsidP="00BA4F18">
      <w:pPr>
        <w:numPr>
          <w:ilvl w:val="0"/>
          <w:numId w:val="33"/>
        </w:numPr>
        <w:ind w:left="720"/>
        <w:contextualSpacing/>
      </w:pPr>
      <w:r w:rsidRPr="00830EEA">
        <w:t xml:space="preserve">Core funding for RTOs that enables the development of organisational and training capacity to meet current and emergent educational requirements of a small, dispersed and disadvantaged workforce. </w:t>
      </w:r>
    </w:p>
    <w:p w:rsidR="00830EEA" w:rsidRPr="00830EEA" w:rsidRDefault="00830EEA" w:rsidP="00BA4F18">
      <w:pPr>
        <w:numPr>
          <w:ilvl w:val="0"/>
          <w:numId w:val="33"/>
        </w:numPr>
        <w:ind w:left="720"/>
        <w:contextualSpacing/>
      </w:pPr>
      <w:r w:rsidRPr="00830EEA">
        <w:t xml:space="preserve">Costing of the current and emergent training delivery models from first principles to inform government of the “real” cost of training this workforce to inform funding allocations and training bids. </w:t>
      </w:r>
    </w:p>
    <w:p w:rsidR="00985E04" w:rsidRDefault="00985E04" w:rsidP="00D441E5">
      <w:pPr>
        <w:rPr>
          <w:rFonts w:ascii="Calibri" w:eastAsia="Calibri" w:hAnsi="Calibri" w:cs="Times New Roman"/>
        </w:rPr>
      </w:pPr>
    </w:p>
    <w:p w:rsidR="001E64DD" w:rsidRDefault="00B87A21" w:rsidP="00C367FC">
      <w:pPr>
        <w:rPr>
          <w:rFonts w:ascii="Calibri" w:eastAsia="Calibri" w:hAnsi="Calibri" w:cs="Times New Roman"/>
          <w:b/>
        </w:rPr>
      </w:pPr>
      <w:r w:rsidRPr="00B87A21">
        <w:rPr>
          <w:rFonts w:ascii="Calibri" w:eastAsia="Calibri" w:hAnsi="Calibri" w:cs="Times New Roman"/>
          <w:b/>
        </w:rPr>
        <w:t>Clinical Educator Capacity in rural and remote health service settings</w:t>
      </w:r>
      <w:r>
        <w:rPr>
          <w:rFonts w:ascii="Calibri" w:eastAsia="Calibri" w:hAnsi="Calibri" w:cs="Times New Roman"/>
          <w:b/>
        </w:rPr>
        <w:t>: A missing element</w:t>
      </w:r>
    </w:p>
    <w:p w:rsidR="00C367FC" w:rsidRPr="001E64DD" w:rsidRDefault="00C367FC" w:rsidP="00C367FC">
      <w:pPr>
        <w:rPr>
          <w:rFonts w:ascii="Calibri" w:eastAsia="Calibri" w:hAnsi="Calibri" w:cs="Times New Roman"/>
          <w:b/>
        </w:rPr>
      </w:pPr>
      <w:r w:rsidRPr="00C367FC">
        <w:t xml:space="preserve">Over recent years there has been increasing focus on the need to build clinical workforce training capacity in rural and remote health service settings as a strategy to increase exposure to rural, remote and Indigenous health practice, </w:t>
      </w:r>
      <w:r w:rsidR="00080C80">
        <w:t xml:space="preserve">and to </w:t>
      </w:r>
      <w:r w:rsidRPr="00C367FC">
        <w:t>inf</w:t>
      </w:r>
      <w:r w:rsidR="00080C80">
        <w:t>luence</w:t>
      </w:r>
      <w:r w:rsidRPr="00C367FC">
        <w:t xml:space="preserve"> decision-making when health professionals</w:t>
      </w:r>
      <w:r w:rsidR="00080C80">
        <w:t xml:space="preserve"> are choosing a career path;</w:t>
      </w:r>
      <w:r w:rsidRPr="00C367FC">
        <w:t xml:space="preserve"> to meet increasing demand for student clinical placements across professions. At the same time, government policy a</w:t>
      </w:r>
      <w:r w:rsidR="00700AE5">
        <w:t>t a state, territory and commonwealth</w:t>
      </w:r>
      <w:r w:rsidRPr="00C367FC">
        <w:t xml:space="preserve"> level is seeking to increase participation of Aboriginal and Torres Strait Islander peoples in the health workforce.</w:t>
      </w:r>
    </w:p>
    <w:p w:rsidR="00247CF5" w:rsidRDefault="00247CF5" w:rsidP="00D441E5">
      <w:pPr>
        <w:rPr>
          <w:rFonts w:ascii="Calibri" w:eastAsia="Calibri" w:hAnsi="Calibri" w:cs="Times New Roman"/>
        </w:rPr>
      </w:pPr>
      <w:r>
        <w:rPr>
          <w:rFonts w:ascii="Calibri" w:eastAsia="Calibri" w:hAnsi="Calibri" w:cs="Times New Roman"/>
        </w:rPr>
        <w:t>Remote health services are challenged to have the clinical supervision capacity needed to offer clinical placements for health profession students, supervision and on-site training for ATSIH workers and junior health professionals due to a range of workforce issues including:</w:t>
      </w:r>
    </w:p>
    <w:p w:rsidR="00247CF5" w:rsidRPr="00C367FC" w:rsidRDefault="00080C80" w:rsidP="00C367FC">
      <w:pPr>
        <w:pStyle w:val="ListParagraph"/>
        <w:numPr>
          <w:ilvl w:val="0"/>
          <w:numId w:val="39"/>
        </w:numPr>
        <w:rPr>
          <w:rFonts w:ascii="Calibri" w:eastAsia="Calibri" w:hAnsi="Calibri" w:cs="Times New Roman"/>
        </w:rPr>
      </w:pPr>
      <w:r>
        <w:rPr>
          <w:rFonts w:ascii="Calibri" w:eastAsia="Calibri" w:hAnsi="Calibri" w:cs="Times New Roman"/>
        </w:rPr>
        <w:t>Staffing models where there is a high reliance on locums and agency doctors and nurses, and/or fly-in fly-out workforce, with limited continuity of clinical staff</w:t>
      </w:r>
    </w:p>
    <w:p w:rsidR="00247CF5" w:rsidRPr="00C367FC" w:rsidRDefault="00247CF5" w:rsidP="00C367FC">
      <w:pPr>
        <w:pStyle w:val="ListParagraph"/>
        <w:numPr>
          <w:ilvl w:val="0"/>
          <w:numId w:val="39"/>
        </w:numPr>
        <w:rPr>
          <w:rFonts w:ascii="Calibri" w:eastAsia="Calibri" w:hAnsi="Calibri" w:cs="Times New Roman"/>
        </w:rPr>
      </w:pPr>
      <w:r w:rsidRPr="00C367FC">
        <w:rPr>
          <w:rFonts w:ascii="Calibri" w:eastAsia="Calibri" w:hAnsi="Calibri" w:cs="Times New Roman"/>
        </w:rPr>
        <w:t>Staff turnover</w:t>
      </w:r>
    </w:p>
    <w:p w:rsidR="00247CF5" w:rsidRPr="00C367FC" w:rsidRDefault="00080C80" w:rsidP="00C367FC">
      <w:pPr>
        <w:pStyle w:val="ListParagraph"/>
        <w:numPr>
          <w:ilvl w:val="0"/>
          <w:numId w:val="39"/>
        </w:numPr>
        <w:rPr>
          <w:rFonts w:ascii="Calibri" w:eastAsia="Calibri" w:hAnsi="Calibri" w:cs="Times New Roman"/>
        </w:rPr>
      </w:pPr>
      <w:r>
        <w:rPr>
          <w:rFonts w:ascii="Calibri" w:eastAsia="Calibri" w:hAnsi="Calibri" w:cs="Times New Roman"/>
        </w:rPr>
        <w:t>Patient load and acuity limiting capacity of experienced clinical staff to supervise students, junior nurses and ATSIHWs</w:t>
      </w:r>
      <w:r w:rsidR="00F9341D">
        <w:rPr>
          <w:rFonts w:ascii="Calibri" w:eastAsia="Calibri" w:hAnsi="Calibri" w:cs="Times New Roman"/>
        </w:rPr>
        <w:t>.</w:t>
      </w:r>
      <w:r w:rsidR="00F9341D">
        <w:rPr>
          <w:rFonts w:ascii="Calibri" w:eastAsia="Calibri" w:hAnsi="Calibri" w:cs="Times New Roman"/>
          <w:vertAlign w:val="superscript"/>
        </w:rPr>
        <w:t>11,12,13</w:t>
      </w:r>
    </w:p>
    <w:p w:rsidR="00C367FC" w:rsidRDefault="00247CF5" w:rsidP="00D441E5">
      <w:pPr>
        <w:rPr>
          <w:rFonts w:ascii="Calibri" w:eastAsia="Calibri" w:hAnsi="Calibri" w:cs="Times New Roman"/>
        </w:rPr>
      </w:pPr>
      <w:r>
        <w:rPr>
          <w:rFonts w:ascii="Calibri" w:eastAsia="Calibri" w:hAnsi="Calibri" w:cs="Times New Roman"/>
        </w:rPr>
        <w:lastRenderedPageBreak/>
        <w:t>Whilst clinical educator capacity is a feature of education and training in</w:t>
      </w:r>
      <w:r w:rsidR="00080C80">
        <w:rPr>
          <w:rFonts w:ascii="Calibri" w:eastAsia="Calibri" w:hAnsi="Calibri" w:cs="Times New Roman"/>
        </w:rPr>
        <w:t xml:space="preserve"> the acute sector, it is absent, or very limited </w:t>
      </w:r>
      <w:r>
        <w:rPr>
          <w:rFonts w:ascii="Calibri" w:eastAsia="Calibri" w:hAnsi="Calibri" w:cs="Times New Roman"/>
        </w:rPr>
        <w:t>in rural and remote</w:t>
      </w:r>
      <w:r w:rsidR="00080C80">
        <w:rPr>
          <w:rFonts w:ascii="Calibri" w:eastAsia="Calibri" w:hAnsi="Calibri" w:cs="Times New Roman"/>
        </w:rPr>
        <w:t xml:space="preserve"> primary health care</w:t>
      </w:r>
      <w:r>
        <w:rPr>
          <w:rFonts w:ascii="Calibri" w:eastAsia="Calibri" w:hAnsi="Calibri" w:cs="Times New Roman"/>
        </w:rPr>
        <w:t xml:space="preserve">. </w:t>
      </w:r>
      <w:r w:rsidR="00080C80">
        <w:rPr>
          <w:rFonts w:ascii="Calibri" w:eastAsia="Calibri" w:hAnsi="Calibri" w:cs="Times New Roman"/>
        </w:rPr>
        <w:t xml:space="preserve">This is a key gap in the primary health care system, but </w:t>
      </w:r>
      <w:r>
        <w:rPr>
          <w:rFonts w:ascii="Calibri" w:eastAsia="Calibri" w:hAnsi="Calibri" w:cs="Times New Roman"/>
        </w:rPr>
        <w:t>is essential to t</w:t>
      </w:r>
      <w:r w:rsidR="00B87A21">
        <w:rPr>
          <w:rFonts w:ascii="Calibri" w:eastAsia="Calibri" w:hAnsi="Calibri" w:cs="Times New Roman"/>
        </w:rPr>
        <w:t xml:space="preserve">he development of the ATSIHW workforce </w:t>
      </w:r>
      <w:r>
        <w:rPr>
          <w:rFonts w:ascii="Calibri" w:eastAsia="Calibri" w:hAnsi="Calibri" w:cs="Times New Roman"/>
        </w:rPr>
        <w:t xml:space="preserve">and the development of a remote ready health </w:t>
      </w:r>
      <w:r w:rsidR="00C367FC">
        <w:rPr>
          <w:rFonts w:ascii="Calibri" w:eastAsia="Calibri" w:hAnsi="Calibri" w:cs="Times New Roman"/>
        </w:rPr>
        <w:t>workforce.</w:t>
      </w:r>
    </w:p>
    <w:p w:rsidR="00CC4583" w:rsidRPr="00CC4583" w:rsidRDefault="00CC4583" w:rsidP="00D441E5">
      <w:pPr>
        <w:rPr>
          <w:rFonts w:ascii="Calibri" w:eastAsia="Calibri" w:hAnsi="Calibri" w:cs="Times New Roman"/>
          <w:b/>
        </w:rPr>
      </w:pPr>
      <w:r w:rsidRPr="00CC4583">
        <w:rPr>
          <w:rFonts w:ascii="Calibri" w:eastAsia="Calibri" w:hAnsi="Calibri" w:cs="Times New Roman"/>
          <w:b/>
        </w:rPr>
        <w:t>Conclusion</w:t>
      </w:r>
    </w:p>
    <w:p w:rsidR="00700AE5" w:rsidRDefault="00CC4583" w:rsidP="00D441E5">
      <w:pPr>
        <w:rPr>
          <w:rFonts w:ascii="Calibri" w:eastAsia="Calibri" w:hAnsi="Calibri" w:cs="Times New Roman"/>
        </w:rPr>
      </w:pPr>
      <w:r>
        <w:rPr>
          <w:rFonts w:ascii="Calibri" w:eastAsia="Calibri" w:hAnsi="Calibri" w:cs="Times New Roman"/>
        </w:rPr>
        <w:t>S</w:t>
      </w:r>
      <w:r w:rsidR="00700AE5">
        <w:rPr>
          <w:rFonts w:ascii="Calibri" w:eastAsia="Calibri" w:hAnsi="Calibri" w:cs="Times New Roman"/>
        </w:rPr>
        <w:t xml:space="preserve">tate, territory and commonwealth governments have stated policies to </w:t>
      </w:r>
      <w:r>
        <w:rPr>
          <w:rFonts w:ascii="Calibri" w:eastAsia="Calibri" w:hAnsi="Calibri" w:cs="Times New Roman"/>
        </w:rPr>
        <w:t>increase Aboriginal and Torres Strait Islander participation in the health workforce</w:t>
      </w:r>
      <w:r w:rsidR="00550281">
        <w:rPr>
          <w:rFonts w:ascii="Calibri" w:eastAsia="Calibri" w:hAnsi="Calibri" w:cs="Times New Roman"/>
        </w:rPr>
        <w:t>,</w:t>
      </w:r>
      <w:r>
        <w:rPr>
          <w:rFonts w:ascii="Calibri" w:eastAsia="Calibri" w:hAnsi="Calibri" w:cs="Times New Roman"/>
        </w:rPr>
        <w:t xml:space="preserve"> and </w:t>
      </w:r>
      <w:r w:rsidR="00550281">
        <w:rPr>
          <w:rFonts w:ascii="Calibri" w:eastAsia="Calibri" w:hAnsi="Calibri" w:cs="Times New Roman"/>
        </w:rPr>
        <w:t xml:space="preserve">to </w:t>
      </w:r>
      <w:r>
        <w:rPr>
          <w:rFonts w:ascii="Calibri" w:eastAsia="Calibri" w:hAnsi="Calibri" w:cs="Times New Roman"/>
        </w:rPr>
        <w:t>build the rural and remote health workforce. However, until there is investment in clinical education capacity in rural and remote primary health care settings, over and above usual clinical supervision, these workplaces will continue to be challenged as effective training partners for ATSIHWs, students and early health professionals.</w:t>
      </w:r>
    </w:p>
    <w:p w:rsidR="00EE1193" w:rsidRPr="00EE1193" w:rsidRDefault="00EE1193" w:rsidP="00D441E5">
      <w:pPr>
        <w:rPr>
          <w:rFonts w:ascii="Calibri" w:eastAsia="Calibri" w:hAnsi="Calibri" w:cs="Times New Roman"/>
          <w:b/>
        </w:rPr>
      </w:pPr>
      <w:r>
        <w:rPr>
          <w:rFonts w:ascii="Calibri" w:eastAsia="Calibri" w:hAnsi="Calibri" w:cs="Times New Roman"/>
          <w:b/>
        </w:rPr>
        <w:t>Recommendation One</w:t>
      </w:r>
    </w:p>
    <w:p w:rsidR="00EE1193" w:rsidRDefault="00EE1193" w:rsidP="00D441E5">
      <w:pPr>
        <w:rPr>
          <w:rFonts w:ascii="Calibri" w:eastAsia="Calibri" w:hAnsi="Calibri" w:cs="Times New Roman"/>
        </w:rPr>
      </w:pPr>
      <w:r>
        <w:rPr>
          <w:rFonts w:ascii="Calibri" w:eastAsia="Calibri" w:hAnsi="Calibri" w:cs="Times New Roman"/>
        </w:rPr>
        <w:t>The primary health care workplace is recognised as a partner with Registered Training Organisations in the training of ATSIHWs. To support this, the Australian Government, Department of Health supports the establishment of clinical educator positions to work across clusters of Aboriginal Community Controlled Health Services to provide clinical training and skills development to ATSIHW students, health profession students and early health professionals. The clinical educators are employed by regional ACCHSs, or auspiced by and ACCHS to have a regional role.</w:t>
      </w:r>
    </w:p>
    <w:p w:rsidR="00EE1193" w:rsidRPr="00C02A3D" w:rsidRDefault="00EE1193" w:rsidP="00D441E5">
      <w:pPr>
        <w:rPr>
          <w:rFonts w:ascii="Calibri" w:eastAsia="Calibri" w:hAnsi="Calibri" w:cs="Times New Roman"/>
          <w:b/>
        </w:rPr>
      </w:pPr>
      <w:r w:rsidRPr="00C02A3D">
        <w:rPr>
          <w:rFonts w:ascii="Calibri" w:eastAsia="Calibri" w:hAnsi="Calibri" w:cs="Times New Roman"/>
          <w:b/>
        </w:rPr>
        <w:t>Recommendation Two</w:t>
      </w:r>
    </w:p>
    <w:p w:rsidR="00EE1193" w:rsidRDefault="00EE1193" w:rsidP="00D441E5">
      <w:pPr>
        <w:rPr>
          <w:rFonts w:ascii="Calibri" w:eastAsia="Calibri" w:hAnsi="Calibri" w:cs="Times New Roman"/>
        </w:rPr>
      </w:pPr>
      <w:r>
        <w:rPr>
          <w:rFonts w:ascii="Calibri" w:eastAsia="Calibri" w:hAnsi="Calibri" w:cs="Times New Roman"/>
        </w:rPr>
        <w:t>State and Territory health departments establish primary health care clinical educator roles</w:t>
      </w:r>
      <w:r w:rsidR="00C02A3D">
        <w:rPr>
          <w:rFonts w:ascii="Calibri" w:eastAsia="Calibri" w:hAnsi="Calibri" w:cs="Times New Roman"/>
        </w:rPr>
        <w:t xml:space="preserve"> to support the training and development of ATSIHWs and junior health professionals employed by the state and territory health services, and health profession students undertaking clinical placements with these services.  </w:t>
      </w:r>
    </w:p>
    <w:p w:rsidR="009C66BE" w:rsidRPr="003C1527" w:rsidRDefault="009C66BE" w:rsidP="009C66BE">
      <w:pPr>
        <w:rPr>
          <w:b/>
        </w:rPr>
      </w:pPr>
      <w:r w:rsidRPr="003C1527">
        <w:rPr>
          <w:b/>
        </w:rPr>
        <w:t>References</w:t>
      </w:r>
    </w:p>
    <w:p w:rsidR="009C66BE" w:rsidRDefault="009C66BE" w:rsidP="009C66BE">
      <w:pPr>
        <w:pStyle w:val="ListParagraph"/>
        <w:numPr>
          <w:ilvl w:val="0"/>
          <w:numId w:val="40"/>
        </w:numPr>
        <w:spacing w:after="160" w:line="259" w:lineRule="auto"/>
        <w:jc w:val="left"/>
      </w:pPr>
      <w:r>
        <w:t xml:space="preserve">Health Workforce Australia.  </w:t>
      </w:r>
      <w:r w:rsidRPr="009625F5">
        <w:rPr>
          <w:i/>
        </w:rPr>
        <w:t>Growing Our Future:  Aboriginal and Torres Strait Islander Health Worker Project Environmental Scan.</w:t>
      </w:r>
      <w:r>
        <w:t xml:space="preserve"> Adelaide. 2011</w:t>
      </w:r>
    </w:p>
    <w:p w:rsidR="009C66BE" w:rsidRDefault="009C66BE" w:rsidP="009C66BE">
      <w:pPr>
        <w:pStyle w:val="ListParagraph"/>
        <w:numPr>
          <w:ilvl w:val="0"/>
          <w:numId w:val="40"/>
        </w:numPr>
        <w:spacing w:after="160" w:line="259" w:lineRule="auto"/>
        <w:jc w:val="left"/>
      </w:pPr>
      <w:r>
        <w:t xml:space="preserve">Australian Health Ministers Advisory Council (2011).  </w:t>
      </w:r>
      <w:r w:rsidRPr="009625F5">
        <w:rPr>
          <w:i/>
        </w:rPr>
        <w:t>National Aboriginal and Torres Strait Islander Health Workforce Strategic Framework</w:t>
      </w:r>
      <w:r>
        <w:t xml:space="preserve"> (2011-2015).  Available from URL:  </w:t>
      </w:r>
      <w:hyperlink r:id="rId8" w:history="1">
        <w:r w:rsidRPr="00975C6D">
          <w:rPr>
            <w:rStyle w:val="Hyperlink"/>
          </w:rPr>
          <w:t>www.iaha.com.au/IAHA%20Documents/000172_National_ATSI_Health_workforce.pdf</w:t>
        </w:r>
      </w:hyperlink>
    </w:p>
    <w:p w:rsidR="009C66BE" w:rsidRDefault="009C66BE" w:rsidP="009C66BE">
      <w:pPr>
        <w:pStyle w:val="ListParagraph"/>
        <w:numPr>
          <w:ilvl w:val="0"/>
          <w:numId w:val="40"/>
        </w:numPr>
        <w:spacing w:after="160" w:line="259" w:lineRule="auto"/>
        <w:jc w:val="left"/>
      </w:pPr>
      <w:r>
        <w:t xml:space="preserve">Australian Bureau of Statistics, 2075.0 – </w:t>
      </w:r>
      <w:r>
        <w:rPr>
          <w:i/>
        </w:rPr>
        <w:t>Census of Population and Housing – Counts of Aboriginal and Torres Strait Islander Australians,</w:t>
      </w:r>
      <w:r>
        <w:t xml:space="preserve"> ABS 2011.</w:t>
      </w:r>
    </w:p>
    <w:p w:rsidR="009C66BE" w:rsidRDefault="009C66BE" w:rsidP="009C66BE">
      <w:pPr>
        <w:pStyle w:val="ListParagraph"/>
        <w:numPr>
          <w:ilvl w:val="0"/>
          <w:numId w:val="40"/>
        </w:numPr>
        <w:spacing w:after="160" w:line="259" w:lineRule="auto"/>
        <w:jc w:val="left"/>
      </w:pPr>
      <w:r>
        <w:t>Australian Bureau of Statistics, 2011 Census.  Cited in Mason J, (2013) Review of Australian Health Workforce Programs.</w:t>
      </w:r>
    </w:p>
    <w:p w:rsidR="009C66BE" w:rsidRDefault="009C66BE" w:rsidP="009C66BE">
      <w:pPr>
        <w:pStyle w:val="ListParagraph"/>
        <w:numPr>
          <w:ilvl w:val="0"/>
          <w:numId w:val="40"/>
        </w:numPr>
        <w:spacing w:after="160" w:line="259" w:lineRule="auto"/>
        <w:jc w:val="left"/>
      </w:pPr>
      <w:r>
        <w:t xml:space="preserve">Department of Education, Employment and Workplace Relations, Employment Outlook for Health Care and Social Assistance, Skillsinfo, 2010.  Available from URL:  </w:t>
      </w:r>
      <w:hyperlink r:id="rId9" w:history="1">
        <w:r w:rsidRPr="00F15176">
          <w:rPr>
            <w:rStyle w:val="Hyperlink"/>
          </w:rPr>
          <w:t>www.skillsinfo.gov.au</w:t>
        </w:r>
      </w:hyperlink>
    </w:p>
    <w:p w:rsidR="009C66BE" w:rsidRDefault="009C66BE" w:rsidP="009C66BE">
      <w:pPr>
        <w:pStyle w:val="ListParagraph"/>
        <w:numPr>
          <w:ilvl w:val="0"/>
          <w:numId w:val="40"/>
        </w:numPr>
        <w:spacing w:after="160" w:line="259" w:lineRule="auto"/>
        <w:jc w:val="left"/>
      </w:pPr>
      <w:r>
        <w:t xml:space="preserve">Community Services and Health Industry Skills Council Environmental Scan 2011.  Available from URL:  </w:t>
      </w:r>
      <w:hyperlink r:id="rId10" w:history="1">
        <w:r w:rsidRPr="00F15176">
          <w:rPr>
            <w:rStyle w:val="Hyperlink"/>
          </w:rPr>
          <w:t>www.cshisc.com.au</w:t>
        </w:r>
      </w:hyperlink>
    </w:p>
    <w:p w:rsidR="009C66BE" w:rsidRDefault="009C66BE" w:rsidP="009C66BE">
      <w:pPr>
        <w:pStyle w:val="ListParagraph"/>
        <w:numPr>
          <w:ilvl w:val="0"/>
          <w:numId w:val="40"/>
        </w:numPr>
        <w:spacing w:after="160" w:line="259" w:lineRule="auto"/>
        <w:jc w:val="left"/>
      </w:pPr>
      <w:r>
        <w:t xml:space="preserve">Hunter, B.H. (2010).  </w:t>
      </w:r>
      <w:r>
        <w:rPr>
          <w:i/>
        </w:rPr>
        <w:t>Pathways for Indigenous School Leavers to Undertake Training of Gain Employment.</w:t>
      </w:r>
      <w:r>
        <w:t xml:space="preserve">  Resource Sheet No. 2. Closing the Gap Clearinghouse, AIHW, p.8.</w:t>
      </w:r>
    </w:p>
    <w:p w:rsidR="009C66BE" w:rsidRDefault="009C66BE" w:rsidP="009C66BE">
      <w:pPr>
        <w:pStyle w:val="ListParagraph"/>
        <w:numPr>
          <w:ilvl w:val="0"/>
          <w:numId w:val="40"/>
        </w:numPr>
        <w:spacing w:after="160" w:line="259" w:lineRule="auto"/>
        <w:jc w:val="left"/>
      </w:pPr>
      <w:r>
        <w:lastRenderedPageBreak/>
        <w:t>Kristine Battye Consulting. Review of Community Controlled Registered Training Organisations Funded Through the Health Workforce Division, Department of Health and Ageing.  2012.</w:t>
      </w:r>
    </w:p>
    <w:p w:rsidR="009C66BE" w:rsidRDefault="009C66BE" w:rsidP="009C66BE">
      <w:pPr>
        <w:pStyle w:val="ListParagraph"/>
        <w:numPr>
          <w:ilvl w:val="0"/>
          <w:numId w:val="40"/>
        </w:numPr>
        <w:spacing w:after="160" w:line="259" w:lineRule="auto"/>
        <w:jc w:val="left"/>
      </w:pPr>
      <w:r>
        <w:t xml:space="preserve">Australian Government, Department of Education and Training.  Vocational Education and Training Reform.  Available from URL:  </w:t>
      </w:r>
      <w:hyperlink r:id="rId11" w:history="1">
        <w:r w:rsidRPr="00F15176">
          <w:rPr>
            <w:rStyle w:val="Hyperlink"/>
          </w:rPr>
          <w:t>www.vetreform.industry.gov.au/reforms-implemented</w:t>
        </w:r>
      </w:hyperlink>
    </w:p>
    <w:p w:rsidR="009C66BE" w:rsidRDefault="009C66BE" w:rsidP="009C66BE">
      <w:pPr>
        <w:pStyle w:val="ListParagraph"/>
        <w:numPr>
          <w:ilvl w:val="0"/>
          <w:numId w:val="40"/>
        </w:numPr>
        <w:spacing w:after="160" w:line="259" w:lineRule="auto"/>
        <w:jc w:val="left"/>
      </w:pPr>
      <w:r>
        <w:t>Mark K, Karmel T. The Likelihood of Completing a VET Qualification:  A model based approach.  Technical paper.  National Centre for Vocational Education Research. Adelaide.  2010</w:t>
      </w:r>
    </w:p>
    <w:p w:rsidR="009C66BE" w:rsidRDefault="009C66BE" w:rsidP="009C66BE">
      <w:pPr>
        <w:pStyle w:val="ListParagraph"/>
        <w:numPr>
          <w:ilvl w:val="0"/>
          <w:numId w:val="40"/>
        </w:numPr>
        <w:spacing w:after="160" w:line="259" w:lineRule="auto"/>
        <w:jc w:val="left"/>
      </w:pPr>
      <w:r>
        <w:t>Greater Northern Australia Regional Training Network (2013).  Understanding clinical placement activity in Greater Northern Australia.  Volume 1.  Medicine, Nursing, Midwifery and Dental. 2013.</w:t>
      </w:r>
    </w:p>
    <w:p w:rsidR="009C66BE" w:rsidRDefault="009C66BE" w:rsidP="009C66BE">
      <w:pPr>
        <w:pStyle w:val="ListParagraph"/>
        <w:numPr>
          <w:ilvl w:val="0"/>
          <w:numId w:val="40"/>
        </w:numPr>
        <w:spacing w:after="160" w:line="259" w:lineRule="auto"/>
        <w:jc w:val="left"/>
      </w:pPr>
      <w:r>
        <w:t>Health Management Advisors. Profile of clinical training placement stakeholders and models of clinical supervision and facilitation.  Final Report.  WA Clinical Training Network 2013.</w:t>
      </w:r>
    </w:p>
    <w:p w:rsidR="009C66BE" w:rsidRDefault="009C66BE" w:rsidP="009C66BE">
      <w:pPr>
        <w:pStyle w:val="ListParagraph"/>
        <w:numPr>
          <w:ilvl w:val="0"/>
          <w:numId w:val="40"/>
        </w:numPr>
        <w:spacing w:after="160" w:line="259" w:lineRule="auto"/>
        <w:jc w:val="left"/>
      </w:pPr>
      <w:r>
        <w:t>KBC Australia.  Consultations to inform the NT Clinical Workforce Strategy, Draft Environmental Scan.  Northern Territory Regional Training Network. 2015</w:t>
      </w:r>
    </w:p>
    <w:p w:rsidR="009C66BE" w:rsidRDefault="009C66BE" w:rsidP="009C66BE"/>
    <w:sectPr w:rsidR="009C66BE" w:rsidSect="005B03AC">
      <w:footerReference w:type="default" r:id="rId12"/>
      <w:footnotePr>
        <w:numFmt w:val="lowerRoman"/>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96" w:rsidRDefault="00065996" w:rsidP="005B03AC">
      <w:pPr>
        <w:spacing w:after="0" w:line="240" w:lineRule="auto"/>
      </w:pPr>
      <w:r>
        <w:separator/>
      </w:r>
    </w:p>
  </w:endnote>
  <w:endnote w:type="continuationSeparator" w:id="0">
    <w:p w:rsidR="00065996" w:rsidRDefault="00065996" w:rsidP="005B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45" w:rsidRPr="000951AD" w:rsidRDefault="00510230" w:rsidP="0015608D">
    <w:pPr>
      <w:pStyle w:val="Footer"/>
      <w:rPr>
        <w:rFonts w:ascii="Arial" w:hAnsi="Arial" w:cs="Arial"/>
        <w:sz w:val="20"/>
        <w:szCs w:val="20"/>
      </w:rPr>
    </w:pPr>
    <w:r>
      <w:rPr>
        <w:rFonts w:ascii="Arial" w:hAnsi="Arial" w:cs="Arial"/>
        <w:sz w:val="16"/>
        <w:szCs w:val="16"/>
      </w:rPr>
      <w:t>KBC Australia</w:t>
    </w:r>
    <w:r w:rsidR="0015608D">
      <w:rPr>
        <w:rFonts w:ascii="Arial" w:hAnsi="Arial" w:cs="Arial"/>
        <w:sz w:val="16"/>
        <w:szCs w:val="16"/>
      </w:rPr>
      <w:tab/>
    </w:r>
    <w:r w:rsidR="0015608D">
      <w:rPr>
        <w:rFonts w:ascii="Arial" w:hAnsi="Arial" w:cs="Arial"/>
        <w:sz w:val="16"/>
        <w:szCs w:val="16"/>
      </w:rPr>
      <w:tab/>
    </w:r>
    <w:r w:rsidR="0015608D" w:rsidRPr="0015608D">
      <w:rPr>
        <w:rFonts w:cs="Arial"/>
        <w:color w:val="7F7F7F"/>
        <w:spacing w:val="60"/>
        <w:sz w:val="20"/>
        <w:szCs w:val="20"/>
      </w:rPr>
      <w:t>Page</w:t>
    </w:r>
    <w:r w:rsidR="0015608D" w:rsidRPr="0015608D">
      <w:rPr>
        <w:rFonts w:cs="Arial"/>
        <w:sz w:val="20"/>
        <w:szCs w:val="20"/>
      </w:rPr>
      <w:t xml:space="preserve"> | </w:t>
    </w:r>
    <w:r w:rsidR="00BE3177" w:rsidRPr="0015608D">
      <w:rPr>
        <w:rFonts w:cs="Arial"/>
        <w:sz w:val="20"/>
        <w:szCs w:val="20"/>
      </w:rPr>
      <w:fldChar w:fldCharType="begin"/>
    </w:r>
    <w:r w:rsidR="0015608D" w:rsidRPr="0015608D">
      <w:rPr>
        <w:rFonts w:cs="Arial"/>
        <w:sz w:val="20"/>
        <w:szCs w:val="20"/>
      </w:rPr>
      <w:instrText xml:space="preserve"> PAGE   \* MERGEFORMAT </w:instrText>
    </w:r>
    <w:r w:rsidR="00BE3177" w:rsidRPr="0015608D">
      <w:rPr>
        <w:rFonts w:cs="Arial"/>
        <w:sz w:val="20"/>
        <w:szCs w:val="20"/>
      </w:rPr>
      <w:fldChar w:fldCharType="separate"/>
    </w:r>
    <w:r w:rsidR="00087477" w:rsidRPr="00087477">
      <w:rPr>
        <w:rFonts w:cs="Arial"/>
        <w:b/>
        <w:noProof/>
        <w:sz w:val="20"/>
        <w:szCs w:val="20"/>
      </w:rPr>
      <w:t>1</w:t>
    </w:r>
    <w:r w:rsidR="00BE3177" w:rsidRPr="0015608D">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96" w:rsidRDefault="00065996" w:rsidP="005B03AC">
      <w:pPr>
        <w:spacing w:after="0" w:line="240" w:lineRule="auto"/>
      </w:pPr>
      <w:r>
        <w:separator/>
      </w:r>
    </w:p>
  </w:footnote>
  <w:footnote w:type="continuationSeparator" w:id="0">
    <w:p w:rsidR="00065996" w:rsidRDefault="00065996" w:rsidP="005B03AC">
      <w:pPr>
        <w:spacing w:after="0" w:line="240" w:lineRule="auto"/>
      </w:pPr>
      <w:r>
        <w:continuationSeparator/>
      </w:r>
    </w:p>
  </w:footnote>
  <w:footnote w:id="1">
    <w:p w:rsidR="00202401" w:rsidRDefault="00202401">
      <w:pPr>
        <w:pStyle w:val="FootnoteText"/>
      </w:pPr>
      <w:r>
        <w:rPr>
          <w:rStyle w:val="FootnoteReference"/>
        </w:rPr>
        <w:footnoteRef/>
      </w:r>
      <w:r>
        <w:t xml:space="preserve"> Employer/workplace – some students are employed by a health service, while others may be on Abstudy and undertake a placement within a workplace.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EAB"/>
    <w:multiLevelType w:val="hybridMultilevel"/>
    <w:tmpl w:val="1A488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A02C56"/>
    <w:multiLevelType w:val="hybridMultilevel"/>
    <w:tmpl w:val="F19E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732C23"/>
    <w:multiLevelType w:val="hybridMultilevel"/>
    <w:tmpl w:val="E09C8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EA72AF"/>
    <w:multiLevelType w:val="hybridMultilevel"/>
    <w:tmpl w:val="D38C2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D52412"/>
    <w:multiLevelType w:val="hybridMultilevel"/>
    <w:tmpl w:val="90B60E70"/>
    <w:lvl w:ilvl="0" w:tplc="823CC1F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83B46CB"/>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A073583"/>
    <w:multiLevelType w:val="hybridMultilevel"/>
    <w:tmpl w:val="4BA0D056"/>
    <w:lvl w:ilvl="0" w:tplc="E82CA2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7468DD"/>
    <w:multiLevelType w:val="hybridMultilevel"/>
    <w:tmpl w:val="94B69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492475"/>
    <w:multiLevelType w:val="hybridMultilevel"/>
    <w:tmpl w:val="B0CAB9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DD94213"/>
    <w:multiLevelType w:val="hybridMultilevel"/>
    <w:tmpl w:val="3FF2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B8640B"/>
    <w:multiLevelType w:val="hybridMultilevel"/>
    <w:tmpl w:val="742AF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1D7111"/>
    <w:multiLevelType w:val="hybridMultilevel"/>
    <w:tmpl w:val="D2B87C5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1E563A"/>
    <w:multiLevelType w:val="hybridMultilevel"/>
    <w:tmpl w:val="4D484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776E3F"/>
    <w:multiLevelType w:val="hybridMultilevel"/>
    <w:tmpl w:val="5B72A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CA1E21"/>
    <w:multiLevelType w:val="hybridMultilevel"/>
    <w:tmpl w:val="1ABCEB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143197"/>
    <w:multiLevelType w:val="hybridMultilevel"/>
    <w:tmpl w:val="6DE453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B901E9"/>
    <w:multiLevelType w:val="hybridMultilevel"/>
    <w:tmpl w:val="DF96176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1133BC"/>
    <w:multiLevelType w:val="hybridMultilevel"/>
    <w:tmpl w:val="BBB23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3491B12"/>
    <w:multiLevelType w:val="hybridMultilevel"/>
    <w:tmpl w:val="506CB23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nsid w:val="44897D81"/>
    <w:multiLevelType w:val="hybridMultilevel"/>
    <w:tmpl w:val="479825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4DC7070"/>
    <w:multiLevelType w:val="hybridMultilevel"/>
    <w:tmpl w:val="B53C70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7D218B0"/>
    <w:multiLevelType w:val="hybridMultilevel"/>
    <w:tmpl w:val="88FCB8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202D0A"/>
    <w:multiLevelType w:val="hybridMultilevel"/>
    <w:tmpl w:val="09F41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9E3703"/>
    <w:multiLevelType w:val="hybridMultilevel"/>
    <w:tmpl w:val="6742E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8D8261D"/>
    <w:multiLevelType w:val="hybridMultilevel"/>
    <w:tmpl w:val="E2EE702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8F32271"/>
    <w:multiLevelType w:val="hybridMultilevel"/>
    <w:tmpl w:val="F6687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C282D89"/>
    <w:multiLevelType w:val="hybridMultilevel"/>
    <w:tmpl w:val="28C8C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374610"/>
    <w:multiLevelType w:val="hybridMultilevel"/>
    <w:tmpl w:val="3878D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9574E7"/>
    <w:multiLevelType w:val="hybridMultilevel"/>
    <w:tmpl w:val="1938EB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8E573B1"/>
    <w:multiLevelType w:val="hybridMultilevel"/>
    <w:tmpl w:val="4D3A1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01D6A12"/>
    <w:multiLevelType w:val="hybridMultilevel"/>
    <w:tmpl w:val="29644D5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078794D"/>
    <w:multiLevelType w:val="hybridMultilevel"/>
    <w:tmpl w:val="C9569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2EF7987"/>
    <w:multiLevelType w:val="hybridMultilevel"/>
    <w:tmpl w:val="F0DEFA7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44D0D14"/>
    <w:multiLevelType w:val="hybridMultilevel"/>
    <w:tmpl w:val="0A4AF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4E057A"/>
    <w:multiLevelType w:val="hybridMultilevel"/>
    <w:tmpl w:val="B64A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5A57BB"/>
    <w:multiLevelType w:val="hybridMultilevel"/>
    <w:tmpl w:val="AD22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1B12A0"/>
    <w:multiLevelType w:val="hybridMultilevel"/>
    <w:tmpl w:val="7DC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856358"/>
    <w:multiLevelType w:val="hybridMultilevel"/>
    <w:tmpl w:val="1E44A1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8F75CEE"/>
    <w:multiLevelType w:val="hybridMultilevel"/>
    <w:tmpl w:val="B7944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8E0932"/>
    <w:multiLevelType w:val="hybridMultilevel"/>
    <w:tmpl w:val="F104BAB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13"/>
  </w:num>
  <w:num w:numId="4">
    <w:abstractNumId w:val="26"/>
  </w:num>
  <w:num w:numId="5">
    <w:abstractNumId w:val="5"/>
  </w:num>
  <w:num w:numId="6">
    <w:abstractNumId w:val="6"/>
  </w:num>
  <w:num w:numId="7">
    <w:abstractNumId w:val="37"/>
  </w:num>
  <w:num w:numId="8">
    <w:abstractNumId w:val="21"/>
  </w:num>
  <w:num w:numId="9">
    <w:abstractNumId w:val="8"/>
  </w:num>
  <w:num w:numId="10">
    <w:abstractNumId w:val="32"/>
  </w:num>
  <w:num w:numId="11">
    <w:abstractNumId w:val="24"/>
  </w:num>
  <w:num w:numId="12">
    <w:abstractNumId w:val="20"/>
  </w:num>
  <w:num w:numId="13">
    <w:abstractNumId w:val="19"/>
  </w:num>
  <w:num w:numId="14">
    <w:abstractNumId w:val="11"/>
  </w:num>
  <w:num w:numId="15">
    <w:abstractNumId w:val="16"/>
  </w:num>
  <w:num w:numId="16">
    <w:abstractNumId w:val="15"/>
  </w:num>
  <w:num w:numId="17">
    <w:abstractNumId w:val="30"/>
  </w:num>
  <w:num w:numId="18">
    <w:abstractNumId w:val="39"/>
  </w:num>
  <w:num w:numId="19">
    <w:abstractNumId w:val="28"/>
  </w:num>
  <w:num w:numId="20">
    <w:abstractNumId w:val="14"/>
  </w:num>
  <w:num w:numId="21">
    <w:abstractNumId w:val="36"/>
  </w:num>
  <w:num w:numId="22">
    <w:abstractNumId w:val="18"/>
  </w:num>
  <w:num w:numId="23">
    <w:abstractNumId w:val="23"/>
  </w:num>
  <w:num w:numId="24">
    <w:abstractNumId w:val="29"/>
  </w:num>
  <w:num w:numId="25">
    <w:abstractNumId w:val="22"/>
  </w:num>
  <w:num w:numId="26">
    <w:abstractNumId w:val="3"/>
  </w:num>
  <w:num w:numId="27">
    <w:abstractNumId w:val="0"/>
  </w:num>
  <w:num w:numId="28">
    <w:abstractNumId w:val="17"/>
  </w:num>
  <w:num w:numId="29">
    <w:abstractNumId w:val="31"/>
  </w:num>
  <w:num w:numId="30">
    <w:abstractNumId w:val="4"/>
  </w:num>
  <w:num w:numId="31">
    <w:abstractNumId w:val="9"/>
  </w:num>
  <w:num w:numId="32">
    <w:abstractNumId w:val="2"/>
  </w:num>
  <w:num w:numId="33">
    <w:abstractNumId w:val="25"/>
  </w:num>
  <w:num w:numId="34">
    <w:abstractNumId w:val="34"/>
  </w:num>
  <w:num w:numId="35">
    <w:abstractNumId w:val="10"/>
  </w:num>
  <w:num w:numId="36">
    <w:abstractNumId w:val="7"/>
  </w:num>
  <w:num w:numId="37">
    <w:abstractNumId w:val="33"/>
  </w:num>
  <w:num w:numId="38">
    <w:abstractNumId w:val="1"/>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AD"/>
    <w:rsid w:val="000260F5"/>
    <w:rsid w:val="00063804"/>
    <w:rsid w:val="00065996"/>
    <w:rsid w:val="00080C80"/>
    <w:rsid w:val="00081532"/>
    <w:rsid w:val="00087477"/>
    <w:rsid w:val="000951AD"/>
    <w:rsid w:val="000C4B74"/>
    <w:rsid w:val="000D7C3E"/>
    <w:rsid w:val="00121D4E"/>
    <w:rsid w:val="00124466"/>
    <w:rsid w:val="00131844"/>
    <w:rsid w:val="00140B4F"/>
    <w:rsid w:val="0015608D"/>
    <w:rsid w:val="0016293F"/>
    <w:rsid w:val="00195D76"/>
    <w:rsid w:val="001A77BA"/>
    <w:rsid w:val="001B0F90"/>
    <w:rsid w:val="001D6E84"/>
    <w:rsid w:val="001E64DD"/>
    <w:rsid w:val="00202401"/>
    <w:rsid w:val="002376FD"/>
    <w:rsid w:val="00247CF5"/>
    <w:rsid w:val="0028206C"/>
    <w:rsid w:val="00292FF5"/>
    <w:rsid w:val="002B6FEF"/>
    <w:rsid w:val="002D40A9"/>
    <w:rsid w:val="00333D95"/>
    <w:rsid w:val="003450C7"/>
    <w:rsid w:val="00356EFA"/>
    <w:rsid w:val="003C1527"/>
    <w:rsid w:val="003C5262"/>
    <w:rsid w:val="003D2DC2"/>
    <w:rsid w:val="003E04EB"/>
    <w:rsid w:val="003E1F9B"/>
    <w:rsid w:val="003F19B5"/>
    <w:rsid w:val="0043235B"/>
    <w:rsid w:val="004438E9"/>
    <w:rsid w:val="00446209"/>
    <w:rsid w:val="00450D45"/>
    <w:rsid w:val="00466D91"/>
    <w:rsid w:val="00485EC3"/>
    <w:rsid w:val="004C07D3"/>
    <w:rsid w:val="00510230"/>
    <w:rsid w:val="00511B14"/>
    <w:rsid w:val="00550281"/>
    <w:rsid w:val="005B03AC"/>
    <w:rsid w:val="005B0980"/>
    <w:rsid w:val="005B1A8E"/>
    <w:rsid w:val="00610576"/>
    <w:rsid w:val="00637E71"/>
    <w:rsid w:val="006532B5"/>
    <w:rsid w:val="00672F7C"/>
    <w:rsid w:val="00687FF9"/>
    <w:rsid w:val="006B0469"/>
    <w:rsid w:val="00700AE5"/>
    <w:rsid w:val="0075622E"/>
    <w:rsid w:val="007758F4"/>
    <w:rsid w:val="00793169"/>
    <w:rsid w:val="007A05F6"/>
    <w:rsid w:val="007A2864"/>
    <w:rsid w:val="007E76A5"/>
    <w:rsid w:val="00812271"/>
    <w:rsid w:val="00824E4D"/>
    <w:rsid w:val="00830EEA"/>
    <w:rsid w:val="008677C2"/>
    <w:rsid w:val="00870EDD"/>
    <w:rsid w:val="00871EDC"/>
    <w:rsid w:val="00882B24"/>
    <w:rsid w:val="00957D39"/>
    <w:rsid w:val="00985E04"/>
    <w:rsid w:val="009A68C7"/>
    <w:rsid w:val="009C66BE"/>
    <w:rsid w:val="009E07C6"/>
    <w:rsid w:val="009E0D76"/>
    <w:rsid w:val="009E5181"/>
    <w:rsid w:val="009F4BE2"/>
    <w:rsid w:val="00A121B7"/>
    <w:rsid w:val="00A1534B"/>
    <w:rsid w:val="00A323CF"/>
    <w:rsid w:val="00A604CB"/>
    <w:rsid w:val="00A82280"/>
    <w:rsid w:val="00AB7BE5"/>
    <w:rsid w:val="00AD3E6C"/>
    <w:rsid w:val="00AE1428"/>
    <w:rsid w:val="00B04B6D"/>
    <w:rsid w:val="00B317E0"/>
    <w:rsid w:val="00B47640"/>
    <w:rsid w:val="00B82D20"/>
    <w:rsid w:val="00B87A21"/>
    <w:rsid w:val="00BA7030"/>
    <w:rsid w:val="00BE0D19"/>
    <w:rsid w:val="00BE3177"/>
    <w:rsid w:val="00C02A3D"/>
    <w:rsid w:val="00C162D9"/>
    <w:rsid w:val="00C367FC"/>
    <w:rsid w:val="00C46CAB"/>
    <w:rsid w:val="00C84DF0"/>
    <w:rsid w:val="00C865F4"/>
    <w:rsid w:val="00CC1207"/>
    <w:rsid w:val="00CC4583"/>
    <w:rsid w:val="00D20A7C"/>
    <w:rsid w:val="00D441E5"/>
    <w:rsid w:val="00D735E9"/>
    <w:rsid w:val="00D86B2A"/>
    <w:rsid w:val="00DB13AD"/>
    <w:rsid w:val="00DF526D"/>
    <w:rsid w:val="00E642BC"/>
    <w:rsid w:val="00E7076C"/>
    <w:rsid w:val="00E72165"/>
    <w:rsid w:val="00EA562E"/>
    <w:rsid w:val="00EB1484"/>
    <w:rsid w:val="00EB4A46"/>
    <w:rsid w:val="00EE1193"/>
    <w:rsid w:val="00F07DA1"/>
    <w:rsid w:val="00F65A4C"/>
    <w:rsid w:val="00F9341D"/>
    <w:rsid w:val="00FB2554"/>
    <w:rsid w:val="00FC0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9C8444A1-DBD1-4BC1-ACC3-FC458E5F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BC Normal"/>
    <w:qFormat/>
    <w:rsid w:val="000951AD"/>
    <w:pPr>
      <w:jc w:val="both"/>
    </w:pPr>
  </w:style>
  <w:style w:type="paragraph" w:styleId="Heading1">
    <w:name w:val="heading 1"/>
    <w:aliases w:val="KBC Heading 1"/>
    <w:basedOn w:val="Normal"/>
    <w:next w:val="Normal"/>
    <w:link w:val="Heading1Char"/>
    <w:qFormat/>
    <w:rsid w:val="00FC07B1"/>
    <w:pPr>
      <w:keepNext/>
      <w:numPr>
        <w:numId w:val="5"/>
      </w:numPr>
      <w:outlineLvl w:val="0"/>
    </w:pPr>
    <w:rPr>
      <w:rFonts w:ascii="Calibri" w:eastAsia="Times New Roman" w:hAnsi="Calibri" w:cs="Arial"/>
      <w:b/>
      <w:bCs/>
      <w:smallCaps/>
      <w:sz w:val="28"/>
      <w:szCs w:val="24"/>
    </w:rPr>
  </w:style>
  <w:style w:type="paragraph" w:styleId="Heading2">
    <w:name w:val="heading 2"/>
    <w:aliases w:val="KBC Heading 2"/>
    <w:basedOn w:val="Normal"/>
    <w:next w:val="Normal"/>
    <w:link w:val="Heading2Char"/>
    <w:uiPriority w:val="9"/>
    <w:unhideWhenUsed/>
    <w:qFormat/>
    <w:rsid w:val="000951AD"/>
    <w:pPr>
      <w:keepNext/>
      <w:keepLines/>
      <w:numPr>
        <w:ilvl w:val="1"/>
        <w:numId w:val="5"/>
      </w:numPr>
      <w:spacing w:before="200"/>
      <w:outlineLvl w:val="1"/>
    </w:pPr>
    <w:rPr>
      <w:rFonts w:ascii="Calibri" w:eastAsiaTheme="majorEastAsia" w:hAnsi="Calibri" w:cstheme="majorBidi"/>
      <w:b/>
      <w:bCs/>
      <w:szCs w:val="26"/>
    </w:rPr>
  </w:style>
  <w:style w:type="paragraph" w:styleId="Heading3">
    <w:name w:val="heading 3"/>
    <w:aliases w:val="KBC Heading 3"/>
    <w:basedOn w:val="Normal"/>
    <w:next w:val="Normal"/>
    <w:link w:val="Heading3Char"/>
    <w:uiPriority w:val="9"/>
    <w:unhideWhenUsed/>
    <w:qFormat/>
    <w:rsid w:val="000951AD"/>
    <w:pPr>
      <w:keepNext/>
      <w:keepLines/>
      <w:numPr>
        <w:ilvl w:val="2"/>
        <w:numId w:val="5"/>
      </w:numPr>
      <w:spacing w:before="200"/>
      <w:outlineLvl w:val="2"/>
    </w:pPr>
    <w:rPr>
      <w:rFonts w:ascii="Calibri" w:eastAsiaTheme="majorEastAsia" w:hAnsi="Calibri" w:cstheme="majorBidi"/>
      <w:bCs/>
    </w:rPr>
  </w:style>
  <w:style w:type="paragraph" w:styleId="Heading4">
    <w:name w:val="heading 4"/>
    <w:basedOn w:val="Normal"/>
    <w:next w:val="Normal"/>
    <w:link w:val="Heading4Char"/>
    <w:uiPriority w:val="9"/>
    <w:semiHidden/>
    <w:unhideWhenUsed/>
    <w:rsid w:val="000951A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1A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1A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1A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1A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51A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DD"/>
    <w:pPr>
      <w:ind w:left="720"/>
      <w:contextualSpacing/>
    </w:pPr>
  </w:style>
  <w:style w:type="character" w:customStyle="1" w:styleId="Heading1Char">
    <w:name w:val="Heading 1 Char"/>
    <w:aliases w:val="KBC Heading 1 Char"/>
    <w:basedOn w:val="DefaultParagraphFont"/>
    <w:link w:val="Heading1"/>
    <w:rsid w:val="00FC07B1"/>
    <w:rPr>
      <w:rFonts w:ascii="Calibri" w:eastAsia="Times New Roman" w:hAnsi="Calibri" w:cs="Arial"/>
      <w:b/>
      <w:bCs/>
      <w:smallCaps/>
      <w:sz w:val="28"/>
      <w:szCs w:val="24"/>
    </w:rPr>
  </w:style>
  <w:style w:type="paragraph" w:styleId="BalloonText">
    <w:name w:val="Balloon Text"/>
    <w:basedOn w:val="Normal"/>
    <w:link w:val="BalloonTextChar"/>
    <w:uiPriority w:val="99"/>
    <w:semiHidden/>
    <w:unhideWhenUsed/>
    <w:rsid w:val="005B0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AC"/>
    <w:rPr>
      <w:rFonts w:ascii="Tahoma" w:hAnsi="Tahoma" w:cs="Tahoma"/>
      <w:sz w:val="16"/>
      <w:szCs w:val="16"/>
    </w:rPr>
  </w:style>
  <w:style w:type="paragraph" w:styleId="Header">
    <w:name w:val="header"/>
    <w:basedOn w:val="Normal"/>
    <w:link w:val="HeaderChar"/>
    <w:uiPriority w:val="99"/>
    <w:unhideWhenUsed/>
    <w:rsid w:val="005B0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3AC"/>
  </w:style>
  <w:style w:type="paragraph" w:styleId="Footer">
    <w:name w:val="footer"/>
    <w:basedOn w:val="Normal"/>
    <w:link w:val="FooterChar"/>
    <w:uiPriority w:val="99"/>
    <w:unhideWhenUsed/>
    <w:rsid w:val="005B0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3AC"/>
  </w:style>
  <w:style w:type="character" w:customStyle="1" w:styleId="Heading2Char">
    <w:name w:val="Heading 2 Char"/>
    <w:aliases w:val="KBC Heading 2 Char"/>
    <w:basedOn w:val="DefaultParagraphFont"/>
    <w:link w:val="Heading2"/>
    <w:uiPriority w:val="9"/>
    <w:rsid w:val="000951AD"/>
    <w:rPr>
      <w:rFonts w:ascii="Calibri" w:eastAsiaTheme="majorEastAsia" w:hAnsi="Calibri" w:cstheme="majorBidi"/>
      <w:b/>
      <w:bCs/>
      <w:szCs w:val="26"/>
    </w:rPr>
  </w:style>
  <w:style w:type="character" w:customStyle="1" w:styleId="Heading3Char">
    <w:name w:val="Heading 3 Char"/>
    <w:aliases w:val="KBC Heading 3 Char"/>
    <w:basedOn w:val="DefaultParagraphFont"/>
    <w:link w:val="Heading3"/>
    <w:uiPriority w:val="9"/>
    <w:rsid w:val="000951AD"/>
    <w:rPr>
      <w:rFonts w:ascii="Calibri" w:eastAsiaTheme="majorEastAsia" w:hAnsi="Calibri" w:cstheme="majorBidi"/>
      <w:bCs/>
    </w:rPr>
  </w:style>
  <w:style w:type="character" w:customStyle="1" w:styleId="Heading4Char">
    <w:name w:val="Heading 4 Char"/>
    <w:basedOn w:val="DefaultParagraphFont"/>
    <w:link w:val="Heading4"/>
    <w:uiPriority w:val="9"/>
    <w:semiHidden/>
    <w:rsid w:val="000951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51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51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1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1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51A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957D39"/>
    <w:pPr>
      <w:keepLines/>
      <w:numPr>
        <w:numId w:val="0"/>
      </w:numPr>
      <w:spacing w:before="480" w:after="0"/>
      <w:jc w:val="left"/>
      <w:outlineLvl w:val="9"/>
    </w:pPr>
    <w:rPr>
      <w:rFonts w:asciiTheme="majorHAnsi" w:eastAsiaTheme="majorEastAsia" w:hAnsiTheme="majorHAnsi" w:cstheme="majorBidi"/>
      <w:color w:val="365F91" w:themeColor="accent1" w:themeShade="BF"/>
      <w:szCs w:val="28"/>
      <w:lang w:val="en-US"/>
    </w:rPr>
  </w:style>
  <w:style w:type="paragraph" w:styleId="TOC1">
    <w:name w:val="toc 1"/>
    <w:basedOn w:val="Normal"/>
    <w:next w:val="Normal"/>
    <w:autoRedefine/>
    <w:uiPriority w:val="39"/>
    <w:unhideWhenUsed/>
    <w:rsid w:val="00957D39"/>
    <w:pPr>
      <w:spacing w:after="100"/>
    </w:pPr>
  </w:style>
  <w:style w:type="paragraph" w:styleId="TOC2">
    <w:name w:val="toc 2"/>
    <w:basedOn w:val="Normal"/>
    <w:next w:val="Normal"/>
    <w:autoRedefine/>
    <w:uiPriority w:val="39"/>
    <w:unhideWhenUsed/>
    <w:rsid w:val="00957D39"/>
    <w:pPr>
      <w:spacing w:after="100"/>
      <w:ind w:left="220"/>
    </w:pPr>
  </w:style>
  <w:style w:type="paragraph" w:styleId="TOC3">
    <w:name w:val="toc 3"/>
    <w:basedOn w:val="Normal"/>
    <w:next w:val="Normal"/>
    <w:autoRedefine/>
    <w:uiPriority w:val="39"/>
    <w:unhideWhenUsed/>
    <w:rsid w:val="00957D39"/>
    <w:pPr>
      <w:spacing w:after="100"/>
      <w:ind w:left="440"/>
    </w:pPr>
  </w:style>
  <w:style w:type="character" w:styleId="Hyperlink">
    <w:name w:val="Hyperlink"/>
    <w:basedOn w:val="DefaultParagraphFont"/>
    <w:uiPriority w:val="99"/>
    <w:unhideWhenUsed/>
    <w:rsid w:val="00957D39"/>
    <w:rPr>
      <w:color w:val="0000FF" w:themeColor="hyperlink"/>
      <w:u w:val="single"/>
    </w:rPr>
  </w:style>
  <w:style w:type="paragraph" w:styleId="NoSpacing">
    <w:name w:val="No Spacing"/>
    <w:uiPriority w:val="1"/>
    <w:rsid w:val="00466D91"/>
    <w:pPr>
      <w:spacing w:after="0" w:line="240" w:lineRule="auto"/>
      <w:jc w:val="both"/>
    </w:pPr>
  </w:style>
  <w:style w:type="table" w:styleId="TableGrid">
    <w:name w:val="Table Grid"/>
    <w:basedOn w:val="TableNormal"/>
    <w:uiPriority w:val="59"/>
    <w:rsid w:val="00D2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0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D441E5"/>
    <w:pPr>
      <w:spacing w:after="0" w:line="240" w:lineRule="auto"/>
    </w:pPr>
    <w:rPr>
      <w:sz w:val="20"/>
      <w:szCs w:val="20"/>
    </w:rPr>
  </w:style>
  <w:style w:type="character" w:customStyle="1" w:styleId="FootnoteTextChar">
    <w:name w:val="Footnote Text Char"/>
    <w:basedOn w:val="DefaultParagraphFont"/>
    <w:link w:val="FootnoteText"/>
    <w:uiPriority w:val="99"/>
    <w:rsid w:val="00D441E5"/>
    <w:rPr>
      <w:sz w:val="20"/>
      <w:szCs w:val="20"/>
    </w:rPr>
  </w:style>
  <w:style w:type="character" w:styleId="FootnoteReference">
    <w:name w:val="footnote reference"/>
    <w:basedOn w:val="DefaultParagraphFont"/>
    <w:uiPriority w:val="99"/>
    <w:semiHidden/>
    <w:rsid w:val="00D441E5"/>
    <w:rPr>
      <w:rFonts w:cs="Times New Roman"/>
      <w:vertAlign w:val="superscript"/>
    </w:rPr>
  </w:style>
  <w:style w:type="table" w:customStyle="1" w:styleId="LightShading11">
    <w:name w:val="Light Shading11"/>
    <w:basedOn w:val="TableNormal"/>
    <w:uiPriority w:val="60"/>
    <w:rsid w:val="00EA56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A121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A121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2024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401"/>
    <w:rPr>
      <w:sz w:val="20"/>
      <w:szCs w:val="20"/>
    </w:rPr>
  </w:style>
  <w:style w:type="character" w:styleId="EndnoteReference">
    <w:name w:val="endnote reference"/>
    <w:basedOn w:val="DefaultParagraphFont"/>
    <w:uiPriority w:val="99"/>
    <w:semiHidden/>
    <w:unhideWhenUsed/>
    <w:rsid w:val="00202401"/>
    <w:rPr>
      <w:vertAlign w:val="superscript"/>
    </w:rPr>
  </w:style>
  <w:style w:type="table" w:styleId="TableGridLight">
    <w:name w:val="Grid Table Light"/>
    <w:basedOn w:val="TableNormal"/>
    <w:uiPriority w:val="40"/>
    <w:rsid w:val="00700A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0A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main\documents\Conference%20Papers%20KB\www.iaha.com.au\IAHA%20Documents\000172_National_ATSI_Health_workfor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reform.industry.gov.au/reforms-implemented" TargetMode="External"/><Relationship Id="rId5" Type="http://schemas.openxmlformats.org/officeDocument/2006/relationships/webSettings" Target="webSettings.xml"/><Relationship Id="rId10" Type="http://schemas.openxmlformats.org/officeDocument/2006/relationships/hyperlink" Target="http://www.cshisc.com.au" TargetMode="External"/><Relationship Id="rId4" Type="http://schemas.openxmlformats.org/officeDocument/2006/relationships/settings" Target="settings.xml"/><Relationship Id="rId9" Type="http://schemas.openxmlformats.org/officeDocument/2006/relationships/hyperlink" Target="http://www.skillsinfo.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7735-E33E-4FAB-A134-4402473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Battye</dc:creator>
  <cp:keywords/>
  <dc:description/>
  <cp:lastModifiedBy>Kris Battye</cp:lastModifiedBy>
  <cp:revision>2</cp:revision>
  <cp:lastPrinted>2015-05-19T06:22:00Z</cp:lastPrinted>
  <dcterms:created xsi:type="dcterms:W3CDTF">2015-05-19T06:23:00Z</dcterms:created>
  <dcterms:modified xsi:type="dcterms:W3CDTF">2015-05-19T06:23:00Z</dcterms:modified>
</cp:coreProperties>
</file>